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BFDC9" w14:textId="6501D59D" w:rsidR="001E5863" w:rsidRDefault="00D75DF3" w:rsidP="001E5863">
      <w:pPr>
        <w:rPr>
          <w:lang w:val="es-MX"/>
        </w:rPr>
        <w:sectPr w:rsidR="001E5863" w:rsidSect="00FC3BFD">
          <w:footerReference w:type="default" r:id="rId11"/>
          <w:headerReference w:type="first" r:id="rId12"/>
          <w:footerReference w:type="first" r:id="rId13"/>
          <w:pgSz w:w="12242" w:h="15842" w:code="1"/>
          <w:pgMar w:top="1418" w:right="1701" w:bottom="1077" w:left="1701" w:header="737" w:footer="567" w:gutter="0"/>
          <w:pgNumType w:start="0"/>
          <w:cols w:space="708" w:equalWidth="0">
            <w:col w:w="8504"/>
          </w:cols>
          <w:titlePg/>
          <w:docGrid w:linePitch="360"/>
        </w:sectPr>
      </w:pPr>
      <w:r>
        <w:rPr>
          <w:noProof/>
        </w:rPr>
        <w:drawing>
          <wp:anchor distT="0" distB="0" distL="114300" distR="114300" simplePos="0" relativeHeight="251660290" behindDoc="0" locked="0" layoutInCell="1" allowOverlap="1" wp14:anchorId="126CE6AB" wp14:editId="72889FEF">
            <wp:simplePos x="0" y="0"/>
            <wp:positionH relativeFrom="page">
              <wp:posOffset>6939703</wp:posOffset>
            </wp:positionH>
            <wp:positionV relativeFrom="paragraph">
              <wp:posOffset>8199755</wp:posOffset>
            </wp:positionV>
            <wp:extent cx="777240" cy="888275"/>
            <wp:effectExtent l="0" t="0" r="3810" b="7620"/>
            <wp:wrapNone/>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777240" cy="8882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6" behindDoc="0" locked="0" layoutInCell="1" allowOverlap="1" wp14:anchorId="0AC735D4" wp14:editId="0BC12E9F">
                <wp:simplePos x="0" y="0"/>
                <wp:positionH relativeFrom="column">
                  <wp:posOffset>4245186</wp:posOffset>
                </wp:positionH>
                <wp:positionV relativeFrom="paragraph">
                  <wp:posOffset>8328025</wp:posOffset>
                </wp:positionV>
                <wp:extent cx="2709333" cy="872066"/>
                <wp:effectExtent l="0" t="0" r="0" b="4445"/>
                <wp:wrapNone/>
                <wp:docPr id="1" name="Elipse 1"/>
                <wp:cNvGraphicFramePr/>
                <a:graphic xmlns:a="http://schemas.openxmlformats.org/drawingml/2006/main">
                  <a:graphicData uri="http://schemas.microsoft.com/office/word/2010/wordprocessingShape">
                    <wps:wsp>
                      <wps:cNvSpPr/>
                      <wps:spPr>
                        <a:xfrm>
                          <a:off x="0" y="0"/>
                          <a:ext cx="2709333" cy="872066"/>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A5EDFC" id="Elipse 1" o:spid="_x0000_s1026" style="position:absolute;margin-left:334.25pt;margin-top:655.75pt;width:213.35pt;height:68.65pt;z-index:2516592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" fillcolor="white [3212]" stroked="f" strokeweight="2pt"/>
            </w:pict>
          </mc:Fallback>
        </mc:AlternateContent>
      </w:r>
      <w:r w:rsidR="002F0A84" w:rsidRPr="000409E9">
        <w:rPr>
          <w:noProof/>
        </w:rPr>
        <mc:AlternateContent>
          <mc:Choice Requires="wps">
            <w:drawing>
              <wp:anchor distT="0" distB="0" distL="114300" distR="114300" simplePos="0" relativeHeight="251658242" behindDoc="0" locked="0" layoutInCell="1" allowOverlap="1" wp14:anchorId="7ECF9936" wp14:editId="7D35A878">
                <wp:simplePos x="0" y="0"/>
                <wp:positionH relativeFrom="column">
                  <wp:posOffset>95250</wp:posOffset>
                </wp:positionH>
                <wp:positionV relativeFrom="paragraph">
                  <wp:posOffset>6758775</wp:posOffset>
                </wp:positionV>
                <wp:extent cx="5536096" cy="143827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536096" cy="1438275"/>
                        </a:xfrm>
                        <a:prstGeom prst="rect">
                          <a:avLst/>
                        </a:prstGeom>
                        <a:noFill/>
                        <a:ln w="6350">
                          <a:noFill/>
                        </a:ln>
                      </wps:spPr>
                      <wps:txbx>
                        <w:txbxContent>
                          <w:p w14:paraId="10F6EAA8" w14:textId="6D33B153" w:rsidR="00F3273F" w:rsidRPr="00E34DF6" w:rsidRDefault="003D71B1" w:rsidP="002F0A84">
                            <w:pPr>
                              <w:jc w:val="center"/>
                              <w:rPr>
                                <w:rFonts w:ascii="Arial" w:hAnsi="Arial" w:cs="Arial"/>
                                <w:color w:val="FFFFFF" w:themeColor="background1"/>
                                <w:sz w:val="28"/>
                                <w:szCs w:val="28"/>
                              </w:rPr>
                            </w:pPr>
                            <w:r>
                              <w:rPr>
                                <w:rFonts w:ascii="Arial" w:hAnsi="Arial" w:cs="Arial"/>
                                <w:color w:val="FFFFFF" w:themeColor="background1"/>
                                <w:sz w:val="28"/>
                                <w:szCs w:val="28"/>
                              </w:rPr>
                              <w:t>Instituto Costarricense sobre Drogas</w:t>
                            </w:r>
                          </w:p>
                          <w:p w14:paraId="6B94FA42" w14:textId="72605277" w:rsidR="00F3273F" w:rsidRPr="00E34DF6" w:rsidRDefault="003D71B1" w:rsidP="002F0A84">
                            <w:pPr>
                              <w:jc w:val="center"/>
                              <w:rPr>
                                <w:rFonts w:ascii="Arial" w:hAnsi="Arial" w:cs="Arial"/>
                                <w:color w:val="FFFFFF" w:themeColor="background1"/>
                                <w:sz w:val="28"/>
                                <w:szCs w:val="28"/>
                              </w:rPr>
                            </w:pPr>
                            <w:r>
                              <w:rPr>
                                <w:rFonts w:ascii="Arial" w:hAnsi="Arial" w:cs="Arial"/>
                                <w:color w:val="FFFFFF" w:themeColor="background1"/>
                                <w:sz w:val="28"/>
                                <w:szCs w:val="28"/>
                              </w:rPr>
                              <w:t>Enero</w:t>
                            </w:r>
                            <w:r w:rsidR="00F3273F" w:rsidRPr="00E34DF6">
                              <w:rPr>
                                <w:rFonts w:ascii="Arial" w:hAnsi="Arial" w:cs="Arial"/>
                                <w:color w:val="FFFFFF" w:themeColor="background1"/>
                                <w:sz w:val="28"/>
                                <w:szCs w:val="28"/>
                              </w:rPr>
                              <w:t xml:space="preserve">, </w:t>
                            </w:r>
                            <w:r w:rsidR="00F3273F">
                              <w:rPr>
                                <w:rFonts w:ascii="Arial" w:hAnsi="Arial" w:cs="Arial"/>
                                <w:color w:val="FFFFFF" w:themeColor="background1"/>
                                <w:sz w:val="28"/>
                                <w:szCs w:val="28"/>
                              </w:rPr>
                              <w:t>202</w:t>
                            </w:r>
                            <w:r>
                              <w:rPr>
                                <w:rFonts w:ascii="Arial" w:hAnsi="Arial" w:cs="Arial"/>
                                <w:color w:val="FFFFFF" w:themeColor="background1"/>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CF9936" id="_x0000_t202" coordsize="21600,21600" o:spt="202" path="m,l,21600r21600,l21600,xe">
                <v:stroke joinstyle="miter"/>
                <v:path gradientshapeok="t" o:connecttype="rect"/>
              </v:shapetype>
              <v:shape id="Cuadro de texto 6" o:spid="_x0000_s1026" type="#_x0000_t202" style="position:absolute;margin-left:7.5pt;margin-top:532.2pt;width:435.9pt;height:113.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" filled="f" stroked="f" strokeweight=".5pt">
                <v:textbox>
                  <w:txbxContent>
                    <w:p w14:paraId="10F6EAA8" w14:textId="6D33B153" w:rsidR="00F3273F" w:rsidRPr="00E34DF6" w:rsidRDefault="003D71B1" w:rsidP="002F0A84">
                      <w:pPr>
                        <w:jc w:val="center"/>
                        <w:rPr>
                          <w:rFonts w:ascii="Arial" w:hAnsi="Arial" w:cs="Arial"/>
                          <w:color w:val="FFFFFF" w:themeColor="background1"/>
                          <w:sz w:val="28"/>
                          <w:szCs w:val="28"/>
                        </w:rPr>
                      </w:pPr>
                      <w:r>
                        <w:rPr>
                          <w:rFonts w:ascii="Arial" w:hAnsi="Arial" w:cs="Arial"/>
                          <w:color w:val="FFFFFF" w:themeColor="background1"/>
                          <w:sz w:val="28"/>
                          <w:szCs w:val="28"/>
                        </w:rPr>
                        <w:t>Instituto Costarricense sobre Drogas</w:t>
                      </w:r>
                    </w:p>
                    <w:p w14:paraId="6B94FA42" w14:textId="72605277" w:rsidR="00F3273F" w:rsidRPr="00E34DF6" w:rsidRDefault="003D71B1" w:rsidP="002F0A84">
                      <w:pPr>
                        <w:jc w:val="center"/>
                        <w:rPr>
                          <w:rFonts w:ascii="Arial" w:hAnsi="Arial" w:cs="Arial"/>
                          <w:color w:val="FFFFFF" w:themeColor="background1"/>
                          <w:sz w:val="28"/>
                          <w:szCs w:val="28"/>
                        </w:rPr>
                      </w:pPr>
                      <w:r>
                        <w:rPr>
                          <w:rFonts w:ascii="Arial" w:hAnsi="Arial" w:cs="Arial"/>
                          <w:color w:val="FFFFFF" w:themeColor="background1"/>
                          <w:sz w:val="28"/>
                          <w:szCs w:val="28"/>
                        </w:rPr>
                        <w:t>Enero</w:t>
                      </w:r>
                      <w:r w:rsidR="00F3273F" w:rsidRPr="00E34DF6">
                        <w:rPr>
                          <w:rFonts w:ascii="Arial" w:hAnsi="Arial" w:cs="Arial"/>
                          <w:color w:val="FFFFFF" w:themeColor="background1"/>
                          <w:sz w:val="28"/>
                          <w:szCs w:val="28"/>
                        </w:rPr>
                        <w:t xml:space="preserve">, </w:t>
                      </w:r>
                      <w:r w:rsidR="00F3273F">
                        <w:rPr>
                          <w:rFonts w:ascii="Arial" w:hAnsi="Arial" w:cs="Arial"/>
                          <w:color w:val="FFFFFF" w:themeColor="background1"/>
                          <w:sz w:val="28"/>
                          <w:szCs w:val="28"/>
                        </w:rPr>
                        <w:t>202</w:t>
                      </w:r>
                      <w:r>
                        <w:rPr>
                          <w:rFonts w:ascii="Arial" w:hAnsi="Arial" w:cs="Arial"/>
                          <w:color w:val="FFFFFF" w:themeColor="background1"/>
                          <w:sz w:val="28"/>
                          <w:szCs w:val="28"/>
                        </w:rPr>
                        <w:t>2</w:t>
                      </w:r>
                    </w:p>
                  </w:txbxContent>
                </v:textbox>
              </v:shape>
            </w:pict>
          </mc:Fallback>
        </mc:AlternateContent>
      </w:r>
      <w:r w:rsidR="007018F7" w:rsidRPr="000409E9">
        <w:rPr>
          <w:noProof/>
        </w:rPr>
        <mc:AlternateContent>
          <mc:Choice Requires="wps">
            <w:drawing>
              <wp:anchor distT="0" distB="0" distL="114300" distR="114300" simplePos="0" relativeHeight="251658241" behindDoc="0" locked="0" layoutInCell="1" allowOverlap="1" wp14:anchorId="0E8D0D8A" wp14:editId="4BDD2039">
                <wp:simplePos x="0" y="0"/>
                <wp:positionH relativeFrom="column">
                  <wp:posOffset>2221205</wp:posOffset>
                </wp:positionH>
                <wp:positionV relativeFrom="paragraph">
                  <wp:posOffset>2104027</wp:posOffset>
                </wp:positionV>
                <wp:extent cx="4025950" cy="2137559"/>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4025950" cy="2137559"/>
                        </a:xfrm>
                        <a:prstGeom prst="rect">
                          <a:avLst/>
                        </a:prstGeom>
                        <a:noFill/>
                        <a:ln w="6350">
                          <a:noFill/>
                        </a:ln>
                      </wps:spPr>
                      <wps:txbx>
                        <w:txbxContent>
                          <w:p w14:paraId="4F237E5C" w14:textId="2A21929A" w:rsidR="00F3273F" w:rsidRPr="002F0A84" w:rsidRDefault="00BF0E6E" w:rsidP="007018F7">
                            <w:pPr>
                              <w:jc w:val="right"/>
                              <w:rPr>
                                <w:rFonts w:ascii="Arial" w:hAnsi="Arial" w:cs="Arial"/>
                                <w:color w:val="FFFFFF" w:themeColor="background1"/>
                                <w:sz w:val="56"/>
                                <w:szCs w:val="96"/>
                              </w:rPr>
                            </w:pPr>
                            <w:r w:rsidRPr="00BF0E6E">
                              <w:rPr>
                                <w:rFonts w:ascii="Arial" w:hAnsi="Arial" w:cs="Arial"/>
                                <w:color w:val="FFFFFF" w:themeColor="background1"/>
                                <w:sz w:val="56"/>
                                <w:szCs w:val="96"/>
                              </w:rPr>
                              <w:t>Informe de Evaluación Física y Financiera de la Ejecución del Presupuesto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D0D8A" id="Cuadro de texto 5" o:spid="_x0000_s1027" type="#_x0000_t202" style="position:absolute;margin-left:174.9pt;margin-top:165.65pt;width:317pt;height:16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" filled="f" stroked="f" strokeweight=".5pt">
                <v:textbox>
                  <w:txbxContent>
                    <w:p w14:paraId="4F237E5C" w14:textId="2A21929A" w:rsidR="00F3273F" w:rsidRPr="002F0A84" w:rsidRDefault="00BF0E6E" w:rsidP="007018F7">
                      <w:pPr>
                        <w:jc w:val="right"/>
                        <w:rPr>
                          <w:rFonts w:ascii="Arial" w:hAnsi="Arial" w:cs="Arial"/>
                          <w:color w:val="FFFFFF" w:themeColor="background1"/>
                          <w:sz w:val="56"/>
                          <w:szCs w:val="96"/>
                        </w:rPr>
                      </w:pPr>
                      <w:r w:rsidRPr="00BF0E6E">
                        <w:rPr>
                          <w:rFonts w:ascii="Arial" w:hAnsi="Arial" w:cs="Arial"/>
                          <w:color w:val="FFFFFF" w:themeColor="background1"/>
                          <w:sz w:val="56"/>
                          <w:szCs w:val="96"/>
                        </w:rPr>
                        <w:t>Informe de Evaluación Física y Financiera de la Ejecución del Presupuesto 2021</w:t>
                      </w:r>
                    </w:p>
                  </w:txbxContent>
                </v:textbox>
              </v:shape>
            </w:pict>
          </mc:Fallback>
        </mc:AlternateContent>
      </w:r>
      <w:r w:rsidR="007018F7">
        <w:rPr>
          <w:noProof/>
        </w:rPr>
        <w:drawing>
          <wp:anchor distT="0" distB="0" distL="114300" distR="114300" simplePos="0" relativeHeight="251658240" behindDoc="1" locked="0" layoutInCell="1" allowOverlap="1" wp14:anchorId="2F52C9B4" wp14:editId="4FE4AC48">
            <wp:simplePos x="0" y="0"/>
            <wp:positionH relativeFrom="column">
              <wp:posOffset>-1056904</wp:posOffset>
            </wp:positionH>
            <wp:positionV relativeFrom="paragraph">
              <wp:posOffset>-879409</wp:posOffset>
            </wp:positionV>
            <wp:extent cx="7797800" cy="10090909"/>
            <wp:effectExtent l="0" t="0" r="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rtada documento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97800" cy="10090909"/>
                    </a:xfrm>
                    <a:prstGeom prst="rect">
                      <a:avLst/>
                    </a:prstGeom>
                  </pic:spPr>
                </pic:pic>
              </a:graphicData>
            </a:graphic>
            <wp14:sizeRelH relativeFrom="page">
              <wp14:pctWidth>0</wp14:pctWidth>
            </wp14:sizeRelH>
            <wp14:sizeRelV relativeFrom="page">
              <wp14:pctHeight>0</wp14:pctHeight>
            </wp14:sizeRelV>
          </wp:anchor>
        </w:drawing>
      </w:r>
    </w:p>
    <w:p w14:paraId="1773C863" w14:textId="77777777" w:rsidR="001E5863" w:rsidRPr="001E5863" w:rsidRDefault="001E5863" w:rsidP="001E5863">
      <w:pPr>
        <w:rPr>
          <w:lang w:val="es-MX"/>
        </w:rPr>
      </w:pPr>
    </w:p>
    <w:p w14:paraId="4FDB3290" w14:textId="77777777" w:rsidR="00A03DA8" w:rsidRPr="0063647B" w:rsidRDefault="00A03DA8" w:rsidP="00A03DA8">
      <w:pPr>
        <w:rPr>
          <w:rFonts w:ascii="Arial" w:hAnsi="Arial" w:cs="Arial"/>
          <w:lang w:val="es-MX"/>
        </w:rPr>
      </w:pPr>
    </w:p>
    <w:sdt>
      <w:sdtPr>
        <w:rPr>
          <w:rFonts w:ascii="Arial" w:eastAsiaTheme="minorEastAsia" w:hAnsi="Arial" w:cs="Arial"/>
          <w:b w:val="0"/>
          <w:bCs w:val="0"/>
          <w:smallCaps w:val="0"/>
          <w:color w:val="auto"/>
          <w:sz w:val="20"/>
          <w:szCs w:val="20"/>
        </w:rPr>
        <w:id w:val="689267020"/>
        <w:docPartObj>
          <w:docPartGallery w:val="Table of Contents"/>
          <w:docPartUnique/>
        </w:docPartObj>
      </w:sdtPr>
      <w:sdtEndPr/>
      <w:sdtContent>
        <w:p w14:paraId="5DC843F7" w14:textId="101CC5D4" w:rsidR="00CB1CCC" w:rsidRPr="00831B38" w:rsidRDefault="00987D1E" w:rsidP="0063648C">
          <w:pPr>
            <w:pStyle w:val="TtuloTDC"/>
            <w:numPr>
              <w:ilvl w:val="0"/>
              <w:numId w:val="0"/>
            </w:numPr>
            <w:spacing w:line="360" w:lineRule="auto"/>
            <w:ind w:left="720"/>
            <w:jc w:val="right"/>
            <w:rPr>
              <w:rFonts w:ascii="Arial" w:hAnsi="Arial" w:cs="Arial"/>
              <w:color w:val="4F81BD" w:themeColor="accent1"/>
              <w:sz w:val="20"/>
              <w:szCs w:val="20"/>
            </w:rPr>
          </w:pPr>
          <w:r w:rsidRPr="00831B38">
            <w:rPr>
              <w:rFonts w:ascii="Arial" w:hAnsi="Arial" w:cs="Arial"/>
              <w:color w:val="4F81BD" w:themeColor="accent1"/>
              <w:sz w:val="20"/>
              <w:szCs w:val="20"/>
            </w:rPr>
            <w:t>Contenidos</w:t>
          </w:r>
        </w:p>
        <w:p w14:paraId="6E9B153F" w14:textId="59259986" w:rsidR="000F20B0" w:rsidRPr="00831B38" w:rsidRDefault="005B50D6" w:rsidP="0063648C">
          <w:pPr>
            <w:pStyle w:val="TDC2"/>
            <w:spacing w:line="360" w:lineRule="auto"/>
            <w:jc w:val="right"/>
            <w:rPr>
              <w:rFonts w:ascii="Arial" w:hAnsi="Arial" w:cs="Arial"/>
              <w:noProof/>
              <w:sz w:val="20"/>
              <w:szCs w:val="20"/>
              <w:lang w:val="es-CR" w:eastAsia="es-CR"/>
            </w:rPr>
          </w:pPr>
          <w:r w:rsidRPr="00831B38">
            <w:rPr>
              <w:rFonts w:ascii="Arial" w:hAnsi="Arial" w:cs="Arial"/>
              <w:sz w:val="20"/>
              <w:szCs w:val="20"/>
            </w:rPr>
            <w:fldChar w:fldCharType="begin"/>
          </w:r>
          <w:r w:rsidRPr="00831B38">
            <w:rPr>
              <w:rFonts w:ascii="Arial" w:hAnsi="Arial" w:cs="Arial"/>
              <w:sz w:val="20"/>
              <w:szCs w:val="20"/>
            </w:rPr>
            <w:instrText xml:space="preserve"> TOC \o "1-3" \h \z \u </w:instrText>
          </w:r>
          <w:r w:rsidRPr="00831B38">
            <w:rPr>
              <w:rFonts w:ascii="Arial" w:hAnsi="Arial" w:cs="Arial"/>
              <w:sz w:val="20"/>
              <w:szCs w:val="20"/>
            </w:rPr>
            <w:fldChar w:fldCharType="separate"/>
          </w:r>
          <w:hyperlink w:anchor="_Toc93673233" w:history="1">
            <w:r w:rsidR="000F20B0" w:rsidRPr="00831B38">
              <w:rPr>
                <w:rStyle w:val="Hipervnculo"/>
                <w:rFonts w:ascii="Arial" w:hAnsi="Arial" w:cs="Arial"/>
                <w:noProof/>
                <w:spacing w:val="5"/>
                <w:sz w:val="20"/>
                <w:szCs w:val="20"/>
              </w:rPr>
              <w:t>2.</w:t>
            </w:r>
            <w:r w:rsidR="000F20B0" w:rsidRPr="00831B38">
              <w:rPr>
                <w:rFonts w:ascii="Arial" w:hAnsi="Arial" w:cs="Arial"/>
                <w:noProof/>
                <w:sz w:val="20"/>
                <w:szCs w:val="20"/>
                <w:lang w:val="es-CR" w:eastAsia="es-CR"/>
              </w:rPr>
              <w:tab/>
            </w:r>
            <w:r w:rsidR="000F20B0" w:rsidRPr="00831B38">
              <w:rPr>
                <w:rStyle w:val="Hipervnculo"/>
                <w:rFonts w:ascii="Arial" w:hAnsi="Arial" w:cs="Arial"/>
                <w:noProof/>
                <w:spacing w:val="5"/>
                <w:sz w:val="20"/>
                <w:szCs w:val="20"/>
              </w:rPr>
              <w:t>Apartado financiero</w:t>
            </w:r>
            <w:r w:rsidR="000F20B0" w:rsidRPr="00831B38">
              <w:rPr>
                <w:rFonts w:ascii="Arial" w:hAnsi="Arial" w:cs="Arial"/>
                <w:noProof/>
                <w:webHidden/>
                <w:sz w:val="20"/>
                <w:szCs w:val="20"/>
              </w:rPr>
              <w:tab/>
            </w:r>
            <w:r w:rsidR="000F20B0" w:rsidRPr="00831B38">
              <w:rPr>
                <w:rFonts w:ascii="Arial" w:hAnsi="Arial" w:cs="Arial"/>
                <w:noProof/>
                <w:webHidden/>
                <w:sz w:val="20"/>
                <w:szCs w:val="20"/>
              </w:rPr>
              <w:fldChar w:fldCharType="begin"/>
            </w:r>
            <w:r w:rsidR="000F20B0" w:rsidRPr="00831B38">
              <w:rPr>
                <w:rFonts w:ascii="Arial" w:hAnsi="Arial" w:cs="Arial"/>
                <w:noProof/>
                <w:webHidden/>
                <w:sz w:val="20"/>
                <w:szCs w:val="20"/>
              </w:rPr>
              <w:instrText xml:space="preserve"> PAGEREF _Toc93673233 \h </w:instrText>
            </w:r>
            <w:r w:rsidR="000F20B0" w:rsidRPr="00831B38">
              <w:rPr>
                <w:rFonts w:ascii="Arial" w:hAnsi="Arial" w:cs="Arial"/>
                <w:noProof/>
                <w:webHidden/>
                <w:sz w:val="20"/>
                <w:szCs w:val="20"/>
              </w:rPr>
            </w:r>
            <w:r w:rsidR="000F20B0" w:rsidRPr="00831B38">
              <w:rPr>
                <w:rFonts w:ascii="Arial" w:hAnsi="Arial" w:cs="Arial"/>
                <w:noProof/>
                <w:webHidden/>
                <w:sz w:val="20"/>
                <w:szCs w:val="20"/>
              </w:rPr>
              <w:fldChar w:fldCharType="separate"/>
            </w:r>
            <w:r w:rsidR="00D00DBD">
              <w:rPr>
                <w:rFonts w:ascii="Arial" w:hAnsi="Arial" w:cs="Arial"/>
                <w:noProof/>
                <w:webHidden/>
                <w:sz w:val="20"/>
                <w:szCs w:val="20"/>
              </w:rPr>
              <w:t>2</w:t>
            </w:r>
            <w:r w:rsidR="000F20B0" w:rsidRPr="00831B38">
              <w:rPr>
                <w:rFonts w:ascii="Arial" w:hAnsi="Arial" w:cs="Arial"/>
                <w:noProof/>
                <w:webHidden/>
                <w:sz w:val="20"/>
                <w:szCs w:val="20"/>
              </w:rPr>
              <w:fldChar w:fldCharType="end"/>
            </w:r>
          </w:hyperlink>
        </w:p>
        <w:p w14:paraId="4E8B00EE" w14:textId="1E097F49" w:rsidR="000F20B0" w:rsidRPr="00831B38" w:rsidRDefault="001A62C7" w:rsidP="0063648C">
          <w:pPr>
            <w:pStyle w:val="TDC2"/>
            <w:spacing w:line="360" w:lineRule="auto"/>
            <w:jc w:val="right"/>
            <w:rPr>
              <w:rFonts w:ascii="Arial" w:hAnsi="Arial" w:cs="Arial"/>
              <w:noProof/>
              <w:sz w:val="20"/>
              <w:szCs w:val="20"/>
              <w:lang w:val="es-CR" w:eastAsia="es-CR"/>
            </w:rPr>
          </w:pPr>
          <w:hyperlink w:anchor="_Toc93673234" w:history="1">
            <w:r w:rsidR="000F20B0" w:rsidRPr="00831B38">
              <w:rPr>
                <w:rStyle w:val="Hipervnculo"/>
                <w:rFonts w:ascii="Arial" w:hAnsi="Arial" w:cs="Arial"/>
                <w:iCs/>
                <w:noProof/>
                <w:spacing w:val="15"/>
                <w:sz w:val="20"/>
                <w:szCs w:val="20"/>
              </w:rPr>
              <w:t>2.1</w:t>
            </w:r>
            <w:r w:rsidR="000F20B0" w:rsidRPr="00831B38">
              <w:rPr>
                <w:rFonts w:ascii="Arial" w:hAnsi="Arial" w:cs="Arial"/>
                <w:noProof/>
                <w:sz w:val="20"/>
                <w:szCs w:val="20"/>
                <w:lang w:val="es-CR" w:eastAsia="es-CR"/>
              </w:rPr>
              <w:tab/>
            </w:r>
            <w:r w:rsidR="000F20B0" w:rsidRPr="00831B38">
              <w:rPr>
                <w:rStyle w:val="Hipervnculo"/>
                <w:rFonts w:ascii="Arial" w:hAnsi="Arial" w:cs="Arial"/>
                <w:iCs/>
                <w:noProof/>
                <w:spacing w:val="15"/>
                <w:sz w:val="20"/>
                <w:szCs w:val="20"/>
              </w:rPr>
              <w:t>Ejecución del presupuesto 2021 asociado a recursos internos</w:t>
            </w:r>
            <w:r w:rsidR="000F20B0" w:rsidRPr="00831B38">
              <w:rPr>
                <w:rFonts w:ascii="Arial" w:hAnsi="Arial" w:cs="Arial"/>
                <w:noProof/>
                <w:webHidden/>
                <w:sz w:val="20"/>
                <w:szCs w:val="20"/>
              </w:rPr>
              <w:tab/>
            </w:r>
            <w:r w:rsidR="000F20B0" w:rsidRPr="00831B38">
              <w:rPr>
                <w:rFonts w:ascii="Arial" w:hAnsi="Arial" w:cs="Arial"/>
                <w:noProof/>
                <w:webHidden/>
                <w:sz w:val="20"/>
                <w:szCs w:val="20"/>
              </w:rPr>
              <w:fldChar w:fldCharType="begin"/>
            </w:r>
            <w:r w:rsidR="000F20B0" w:rsidRPr="00831B38">
              <w:rPr>
                <w:rFonts w:ascii="Arial" w:hAnsi="Arial" w:cs="Arial"/>
                <w:noProof/>
                <w:webHidden/>
                <w:sz w:val="20"/>
                <w:szCs w:val="20"/>
              </w:rPr>
              <w:instrText xml:space="preserve"> PAGEREF _Toc93673234 \h </w:instrText>
            </w:r>
            <w:r w:rsidR="000F20B0" w:rsidRPr="00831B38">
              <w:rPr>
                <w:rFonts w:ascii="Arial" w:hAnsi="Arial" w:cs="Arial"/>
                <w:noProof/>
                <w:webHidden/>
                <w:sz w:val="20"/>
                <w:szCs w:val="20"/>
              </w:rPr>
            </w:r>
            <w:r w:rsidR="000F20B0" w:rsidRPr="00831B38">
              <w:rPr>
                <w:rFonts w:ascii="Arial" w:hAnsi="Arial" w:cs="Arial"/>
                <w:noProof/>
                <w:webHidden/>
                <w:sz w:val="20"/>
                <w:szCs w:val="20"/>
              </w:rPr>
              <w:fldChar w:fldCharType="separate"/>
            </w:r>
            <w:r w:rsidR="00D00DBD">
              <w:rPr>
                <w:rFonts w:ascii="Arial" w:hAnsi="Arial" w:cs="Arial"/>
                <w:noProof/>
                <w:webHidden/>
                <w:sz w:val="20"/>
                <w:szCs w:val="20"/>
              </w:rPr>
              <w:t>2</w:t>
            </w:r>
            <w:r w:rsidR="000F20B0" w:rsidRPr="00831B38">
              <w:rPr>
                <w:rFonts w:ascii="Arial" w:hAnsi="Arial" w:cs="Arial"/>
                <w:noProof/>
                <w:webHidden/>
                <w:sz w:val="20"/>
                <w:szCs w:val="20"/>
              </w:rPr>
              <w:fldChar w:fldCharType="end"/>
            </w:r>
          </w:hyperlink>
        </w:p>
        <w:p w14:paraId="45AF8BCB" w14:textId="4E94B1E9" w:rsidR="000F20B0" w:rsidRPr="00831B38" w:rsidRDefault="001A62C7" w:rsidP="0063648C">
          <w:pPr>
            <w:pStyle w:val="TDC2"/>
            <w:spacing w:line="360" w:lineRule="auto"/>
            <w:jc w:val="right"/>
            <w:rPr>
              <w:rFonts w:ascii="Arial" w:hAnsi="Arial" w:cs="Arial"/>
              <w:noProof/>
              <w:sz w:val="20"/>
              <w:szCs w:val="20"/>
              <w:lang w:val="es-CR" w:eastAsia="es-CR"/>
            </w:rPr>
          </w:pPr>
          <w:hyperlink w:anchor="_Toc93673235" w:history="1">
            <w:r w:rsidR="000F20B0" w:rsidRPr="00831B38">
              <w:rPr>
                <w:rStyle w:val="Hipervnculo"/>
                <w:rFonts w:ascii="Arial" w:hAnsi="Arial" w:cs="Arial"/>
                <w:iCs/>
                <w:noProof/>
                <w:spacing w:val="15"/>
                <w:sz w:val="20"/>
                <w:szCs w:val="20"/>
              </w:rPr>
              <w:t>2.2</w:t>
            </w:r>
            <w:r w:rsidR="000F20B0" w:rsidRPr="00831B38">
              <w:rPr>
                <w:rFonts w:ascii="Arial" w:hAnsi="Arial" w:cs="Arial"/>
                <w:noProof/>
                <w:sz w:val="20"/>
                <w:szCs w:val="20"/>
                <w:lang w:val="es-CR" w:eastAsia="es-CR"/>
              </w:rPr>
              <w:tab/>
            </w:r>
            <w:r w:rsidR="000F20B0" w:rsidRPr="00831B38">
              <w:rPr>
                <w:rStyle w:val="Hipervnculo"/>
                <w:rFonts w:ascii="Arial" w:hAnsi="Arial" w:cs="Arial"/>
                <w:iCs/>
                <w:noProof/>
                <w:spacing w:val="15"/>
                <w:sz w:val="20"/>
                <w:szCs w:val="20"/>
              </w:rPr>
              <w:t>Factores y acciones correctivas de la ejecución financiera</w:t>
            </w:r>
            <w:r w:rsidR="000F20B0" w:rsidRPr="00831B38">
              <w:rPr>
                <w:rFonts w:ascii="Arial" w:hAnsi="Arial" w:cs="Arial"/>
                <w:noProof/>
                <w:webHidden/>
                <w:sz w:val="20"/>
                <w:szCs w:val="20"/>
              </w:rPr>
              <w:tab/>
            </w:r>
            <w:r w:rsidR="000F20B0" w:rsidRPr="00831B38">
              <w:rPr>
                <w:rFonts w:ascii="Arial" w:hAnsi="Arial" w:cs="Arial"/>
                <w:noProof/>
                <w:webHidden/>
                <w:sz w:val="20"/>
                <w:szCs w:val="20"/>
              </w:rPr>
              <w:fldChar w:fldCharType="begin"/>
            </w:r>
            <w:r w:rsidR="000F20B0" w:rsidRPr="00831B38">
              <w:rPr>
                <w:rFonts w:ascii="Arial" w:hAnsi="Arial" w:cs="Arial"/>
                <w:noProof/>
                <w:webHidden/>
                <w:sz w:val="20"/>
                <w:szCs w:val="20"/>
              </w:rPr>
              <w:instrText xml:space="preserve"> PAGEREF _Toc93673235 \h </w:instrText>
            </w:r>
            <w:r w:rsidR="000F20B0" w:rsidRPr="00831B38">
              <w:rPr>
                <w:rFonts w:ascii="Arial" w:hAnsi="Arial" w:cs="Arial"/>
                <w:noProof/>
                <w:webHidden/>
                <w:sz w:val="20"/>
                <w:szCs w:val="20"/>
              </w:rPr>
            </w:r>
            <w:r w:rsidR="000F20B0" w:rsidRPr="00831B38">
              <w:rPr>
                <w:rFonts w:ascii="Arial" w:hAnsi="Arial" w:cs="Arial"/>
                <w:noProof/>
                <w:webHidden/>
                <w:sz w:val="20"/>
                <w:szCs w:val="20"/>
              </w:rPr>
              <w:fldChar w:fldCharType="separate"/>
            </w:r>
            <w:r w:rsidR="00D00DBD">
              <w:rPr>
                <w:rFonts w:ascii="Arial" w:hAnsi="Arial" w:cs="Arial"/>
                <w:noProof/>
                <w:webHidden/>
                <w:sz w:val="20"/>
                <w:szCs w:val="20"/>
              </w:rPr>
              <w:t>4</w:t>
            </w:r>
            <w:r w:rsidR="000F20B0" w:rsidRPr="00831B38">
              <w:rPr>
                <w:rFonts w:ascii="Arial" w:hAnsi="Arial" w:cs="Arial"/>
                <w:noProof/>
                <w:webHidden/>
                <w:sz w:val="20"/>
                <w:szCs w:val="20"/>
              </w:rPr>
              <w:fldChar w:fldCharType="end"/>
            </w:r>
          </w:hyperlink>
        </w:p>
        <w:p w14:paraId="7A92C2B5" w14:textId="1CEBFD7A" w:rsidR="000F20B0" w:rsidRPr="00831B38" w:rsidRDefault="001A62C7" w:rsidP="0063648C">
          <w:pPr>
            <w:pStyle w:val="TDC2"/>
            <w:spacing w:line="360" w:lineRule="auto"/>
            <w:jc w:val="right"/>
            <w:rPr>
              <w:rFonts w:ascii="Arial" w:hAnsi="Arial" w:cs="Arial"/>
              <w:noProof/>
              <w:sz w:val="20"/>
              <w:szCs w:val="20"/>
              <w:lang w:val="es-CR" w:eastAsia="es-CR"/>
            </w:rPr>
          </w:pPr>
          <w:hyperlink w:anchor="_Toc93673240" w:history="1">
            <w:r w:rsidR="000F20B0" w:rsidRPr="00831B38">
              <w:rPr>
                <w:rStyle w:val="Hipervnculo"/>
                <w:rFonts w:ascii="Arial" w:hAnsi="Arial" w:cs="Arial"/>
                <w:noProof/>
                <w:spacing w:val="5"/>
                <w:sz w:val="20"/>
                <w:szCs w:val="20"/>
              </w:rPr>
              <w:t>3.</w:t>
            </w:r>
            <w:r w:rsidR="000F20B0" w:rsidRPr="00831B38">
              <w:rPr>
                <w:rFonts w:ascii="Arial" w:hAnsi="Arial" w:cs="Arial"/>
                <w:noProof/>
                <w:sz w:val="20"/>
                <w:szCs w:val="20"/>
                <w:lang w:val="es-CR" w:eastAsia="es-CR"/>
              </w:rPr>
              <w:tab/>
            </w:r>
            <w:r w:rsidR="000F20B0" w:rsidRPr="00831B38">
              <w:rPr>
                <w:rStyle w:val="Hipervnculo"/>
                <w:rFonts w:ascii="Arial" w:hAnsi="Arial" w:cs="Arial"/>
                <w:noProof/>
                <w:spacing w:val="5"/>
                <w:sz w:val="20"/>
                <w:szCs w:val="20"/>
              </w:rPr>
              <w:t>Apartado de gestión: centro gestor</w:t>
            </w:r>
            <w:r w:rsidR="000F20B0" w:rsidRPr="00831B38">
              <w:rPr>
                <w:rFonts w:ascii="Arial" w:hAnsi="Arial" w:cs="Arial"/>
                <w:noProof/>
                <w:webHidden/>
                <w:sz w:val="20"/>
                <w:szCs w:val="20"/>
              </w:rPr>
              <w:tab/>
            </w:r>
            <w:r w:rsidR="000F20B0" w:rsidRPr="00831B38">
              <w:rPr>
                <w:rFonts w:ascii="Arial" w:hAnsi="Arial" w:cs="Arial"/>
                <w:noProof/>
                <w:webHidden/>
                <w:sz w:val="20"/>
                <w:szCs w:val="20"/>
              </w:rPr>
              <w:fldChar w:fldCharType="begin"/>
            </w:r>
            <w:r w:rsidR="000F20B0" w:rsidRPr="00831B38">
              <w:rPr>
                <w:rFonts w:ascii="Arial" w:hAnsi="Arial" w:cs="Arial"/>
                <w:noProof/>
                <w:webHidden/>
                <w:sz w:val="20"/>
                <w:szCs w:val="20"/>
              </w:rPr>
              <w:instrText xml:space="preserve"> PAGEREF _Toc93673240 \h </w:instrText>
            </w:r>
            <w:r w:rsidR="000F20B0" w:rsidRPr="00831B38">
              <w:rPr>
                <w:rFonts w:ascii="Arial" w:hAnsi="Arial" w:cs="Arial"/>
                <w:noProof/>
                <w:webHidden/>
                <w:sz w:val="20"/>
                <w:szCs w:val="20"/>
              </w:rPr>
            </w:r>
            <w:r w:rsidR="000F20B0" w:rsidRPr="00831B38">
              <w:rPr>
                <w:rFonts w:ascii="Arial" w:hAnsi="Arial" w:cs="Arial"/>
                <w:noProof/>
                <w:webHidden/>
                <w:sz w:val="20"/>
                <w:szCs w:val="20"/>
              </w:rPr>
              <w:fldChar w:fldCharType="separate"/>
            </w:r>
            <w:r w:rsidR="00D00DBD">
              <w:rPr>
                <w:rFonts w:ascii="Arial" w:hAnsi="Arial" w:cs="Arial"/>
                <w:noProof/>
                <w:webHidden/>
                <w:sz w:val="20"/>
                <w:szCs w:val="20"/>
              </w:rPr>
              <w:t>12</w:t>
            </w:r>
            <w:r w:rsidR="000F20B0" w:rsidRPr="00831B38">
              <w:rPr>
                <w:rFonts w:ascii="Arial" w:hAnsi="Arial" w:cs="Arial"/>
                <w:noProof/>
                <w:webHidden/>
                <w:sz w:val="20"/>
                <w:szCs w:val="20"/>
              </w:rPr>
              <w:fldChar w:fldCharType="end"/>
            </w:r>
          </w:hyperlink>
        </w:p>
        <w:p w14:paraId="6B44A365" w14:textId="43B255E6" w:rsidR="000F20B0" w:rsidRPr="00831B38" w:rsidRDefault="001A62C7" w:rsidP="0063648C">
          <w:pPr>
            <w:pStyle w:val="TDC2"/>
            <w:tabs>
              <w:tab w:val="left" w:pos="1100"/>
            </w:tabs>
            <w:spacing w:line="360" w:lineRule="auto"/>
            <w:jc w:val="right"/>
            <w:rPr>
              <w:rFonts w:ascii="Arial" w:hAnsi="Arial" w:cs="Arial"/>
              <w:noProof/>
              <w:sz w:val="20"/>
              <w:szCs w:val="20"/>
              <w:lang w:val="es-CR" w:eastAsia="es-CR"/>
            </w:rPr>
          </w:pPr>
          <w:hyperlink w:anchor="_Toc93673241" w:history="1">
            <w:r w:rsidR="000F20B0" w:rsidRPr="00831B38">
              <w:rPr>
                <w:rStyle w:val="Hipervnculo"/>
                <w:rFonts w:ascii="Arial" w:hAnsi="Arial" w:cs="Arial"/>
                <w:iCs/>
                <w:noProof/>
                <w:spacing w:val="15"/>
                <w:sz w:val="20"/>
                <w:szCs w:val="20"/>
              </w:rPr>
              <w:t>3.1.</w:t>
            </w:r>
            <w:r w:rsidR="000F20B0" w:rsidRPr="00831B38">
              <w:rPr>
                <w:rFonts w:ascii="Arial" w:hAnsi="Arial" w:cs="Arial"/>
                <w:noProof/>
                <w:sz w:val="20"/>
                <w:szCs w:val="20"/>
                <w:lang w:val="es-CR" w:eastAsia="es-CR"/>
              </w:rPr>
              <w:tab/>
            </w:r>
            <w:r w:rsidR="000F20B0" w:rsidRPr="00831B38">
              <w:rPr>
                <w:rStyle w:val="Hipervnculo"/>
                <w:rFonts w:ascii="Arial" w:hAnsi="Arial" w:cs="Arial"/>
                <w:iCs/>
                <w:noProof/>
                <w:spacing w:val="15"/>
                <w:sz w:val="20"/>
                <w:szCs w:val="20"/>
              </w:rPr>
              <w:t>Análisis de los logros obtenidos</w:t>
            </w:r>
            <w:r w:rsidR="000F20B0" w:rsidRPr="00831B38">
              <w:rPr>
                <w:rFonts w:ascii="Arial" w:hAnsi="Arial" w:cs="Arial"/>
                <w:noProof/>
                <w:webHidden/>
                <w:sz w:val="20"/>
                <w:szCs w:val="20"/>
              </w:rPr>
              <w:tab/>
            </w:r>
            <w:r w:rsidR="000F20B0" w:rsidRPr="00831B38">
              <w:rPr>
                <w:rFonts w:ascii="Arial" w:hAnsi="Arial" w:cs="Arial"/>
                <w:noProof/>
                <w:webHidden/>
                <w:sz w:val="20"/>
                <w:szCs w:val="20"/>
              </w:rPr>
              <w:fldChar w:fldCharType="begin"/>
            </w:r>
            <w:r w:rsidR="000F20B0" w:rsidRPr="00831B38">
              <w:rPr>
                <w:rFonts w:ascii="Arial" w:hAnsi="Arial" w:cs="Arial"/>
                <w:noProof/>
                <w:webHidden/>
                <w:sz w:val="20"/>
                <w:szCs w:val="20"/>
              </w:rPr>
              <w:instrText xml:space="preserve"> PAGEREF _Toc93673241 \h </w:instrText>
            </w:r>
            <w:r w:rsidR="000F20B0" w:rsidRPr="00831B38">
              <w:rPr>
                <w:rFonts w:ascii="Arial" w:hAnsi="Arial" w:cs="Arial"/>
                <w:noProof/>
                <w:webHidden/>
                <w:sz w:val="20"/>
                <w:szCs w:val="20"/>
              </w:rPr>
            </w:r>
            <w:r w:rsidR="000F20B0" w:rsidRPr="00831B38">
              <w:rPr>
                <w:rFonts w:ascii="Arial" w:hAnsi="Arial" w:cs="Arial"/>
                <w:noProof/>
                <w:webHidden/>
                <w:sz w:val="20"/>
                <w:szCs w:val="20"/>
              </w:rPr>
              <w:fldChar w:fldCharType="separate"/>
            </w:r>
            <w:r w:rsidR="00D00DBD">
              <w:rPr>
                <w:rFonts w:ascii="Arial" w:hAnsi="Arial" w:cs="Arial"/>
                <w:noProof/>
                <w:webHidden/>
                <w:sz w:val="20"/>
                <w:szCs w:val="20"/>
              </w:rPr>
              <w:t>12</w:t>
            </w:r>
            <w:r w:rsidR="000F20B0" w:rsidRPr="00831B38">
              <w:rPr>
                <w:rFonts w:ascii="Arial" w:hAnsi="Arial" w:cs="Arial"/>
                <w:noProof/>
                <w:webHidden/>
                <w:sz w:val="20"/>
                <w:szCs w:val="20"/>
              </w:rPr>
              <w:fldChar w:fldCharType="end"/>
            </w:r>
          </w:hyperlink>
        </w:p>
        <w:p w14:paraId="433D4D75" w14:textId="3B3228B6" w:rsidR="000F20B0" w:rsidRPr="00831B38" w:rsidRDefault="001A62C7" w:rsidP="0063648C">
          <w:pPr>
            <w:pStyle w:val="TDC2"/>
            <w:tabs>
              <w:tab w:val="left" w:pos="1100"/>
            </w:tabs>
            <w:spacing w:line="360" w:lineRule="auto"/>
            <w:jc w:val="right"/>
            <w:rPr>
              <w:rFonts w:ascii="Arial" w:hAnsi="Arial" w:cs="Arial"/>
              <w:noProof/>
              <w:sz w:val="20"/>
              <w:szCs w:val="20"/>
              <w:lang w:val="es-CR" w:eastAsia="es-CR"/>
            </w:rPr>
          </w:pPr>
          <w:hyperlink w:anchor="_Toc93673242" w:history="1">
            <w:r w:rsidR="000F20B0" w:rsidRPr="00831B38">
              <w:rPr>
                <w:rStyle w:val="Hipervnculo"/>
                <w:rFonts w:ascii="Arial" w:hAnsi="Arial" w:cs="Arial"/>
                <w:iCs/>
                <w:noProof/>
                <w:spacing w:val="15"/>
                <w:sz w:val="20"/>
                <w:szCs w:val="20"/>
              </w:rPr>
              <w:t>3.1.1</w:t>
            </w:r>
            <w:r w:rsidR="000F20B0" w:rsidRPr="00831B38">
              <w:rPr>
                <w:rFonts w:ascii="Arial" w:hAnsi="Arial" w:cs="Arial"/>
                <w:noProof/>
                <w:sz w:val="20"/>
                <w:szCs w:val="20"/>
                <w:lang w:val="es-CR" w:eastAsia="es-CR"/>
              </w:rPr>
              <w:tab/>
            </w:r>
            <w:r w:rsidR="000F20B0" w:rsidRPr="00831B38">
              <w:rPr>
                <w:rStyle w:val="Hipervnculo"/>
                <w:rFonts w:ascii="Arial" w:hAnsi="Arial" w:cs="Arial"/>
                <w:iCs/>
                <w:noProof/>
                <w:spacing w:val="15"/>
                <w:sz w:val="20"/>
                <w:szCs w:val="20"/>
              </w:rPr>
              <w:t>Análisis de unidades de medida</w:t>
            </w:r>
            <w:r w:rsidR="000F20B0" w:rsidRPr="00831B38">
              <w:rPr>
                <w:rFonts w:ascii="Arial" w:hAnsi="Arial" w:cs="Arial"/>
                <w:noProof/>
                <w:webHidden/>
                <w:sz w:val="20"/>
                <w:szCs w:val="20"/>
              </w:rPr>
              <w:tab/>
            </w:r>
            <w:r w:rsidR="000F20B0" w:rsidRPr="00831B38">
              <w:rPr>
                <w:rFonts w:ascii="Arial" w:hAnsi="Arial" w:cs="Arial"/>
                <w:noProof/>
                <w:webHidden/>
                <w:sz w:val="20"/>
                <w:szCs w:val="20"/>
              </w:rPr>
              <w:fldChar w:fldCharType="begin"/>
            </w:r>
            <w:r w:rsidR="000F20B0" w:rsidRPr="00831B38">
              <w:rPr>
                <w:rFonts w:ascii="Arial" w:hAnsi="Arial" w:cs="Arial"/>
                <w:noProof/>
                <w:webHidden/>
                <w:sz w:val="20"/>
                <w:szCs w:val="20"/>
              </w:rPr>
              <w:instrText xml:space="preserve"> PAGEREF _Toc93673242 \h </w:instrText>
            </w:r>
            <w:r w:rsidR="000F20B0" w:rsidRPr="00831B38">
              <w:rPr>
                <w:rFonts w:ascii="Arial" w:hAnsi="Arial" w:cs="Arial"/>
                <w:noProof/>
                <w:webHidden/>
                <w:sz w:val="20"/>
                <w:szCs w:val="20"/>
              </w:rPr>
            </w:r>
            <w:r w:rsidR="000F20B0" w:rsidRPr="00831B38">
              <w:rPr>
                <w:rFonts w:ascii="Arial" w:hAnsi="Arial" w:cs="Arial"/>
                <w:noProof/>
                <w:webHidden/>
                <w:sz w:val="20"/>
                <w:szCs w:val="20"/>
              </w:rPr>
              <w:fldChar w:fldCharType="separate"/>
            </w:r>
            <w:r w:rsidR="00D00DBD">
              <w:rPr>
                <w:rFonts w:ascii="Arial" w:hAnsi="Arial" w:cs="Arial"/>
                <w:noProof/>
                <w:webHidden/>
                <w:sz w:val="20"/>
                <w:szCs w:val="20"/>
              </w:rPr>
              <w:t>14</w:t>
            </w:r>
            <w:r w:rsidR="000F20B0" w:rsidRPr="00831B38">
              <w:rPr>
                <w:rFonts w:ascii="Arial" w:hAnsi="Arial" w:cs="Arial"/>
                <w:noProof/>
                <w:webHidden/>
                <w:sz w:val="20"/>
                <w:szCs w:val="20"/>
              </w:rPr>
              <w:fldChar w:fldCharType="end"/>
            </w:r>
          </w:hyperlink>
        </w:p>
        <w:p w14:paraId="21D14D69" w14:textId="44E10F5A" w:rsidR="000F20B0" w:rsidRPr="00831B38" w:rsidRDefault="001A62C7" w:rsidP="0063648C">
          <w:pPr>
            <w:pStyle w:val="TDC2"/>
            <w:tabs>
              <w:tab w:val="left" w:pos="1100"/>
            </w:tabs>
            <w:spacing w:line="360" w:lineRule="auto"/>
            <w:jc w:val="right"/>
            <w:rPr>
              <w:rFonts w:ascii="Arial" w:hAnsi="Arial" w:cs="Arial"/>
              <w:noProof/>
              <w:sz w:val="20"/>
              <w:szCs w:val="20"/>
              <w:lang w:val="es-CR" w:eastAsia="es-CR"/>
            </w:rPr>
          </w:pPr>
          <w:hyperlink w:anchor="_Toc93673243" w:history="1">
            <w:r w:rsidR="000F20B0" w:rsidRPr="00831B38">
              <w:rPr>
                <w:rStyle w:val="Hipervnculo"/>
                <w:rFonts w:ascii="Arial" w:hAnsi="Arial" w:cs="Arial"/>
                <w:iCs/>
                <w:noProof/>
                <w:spacing w:val="15"/>
                <w:sz w:val="20"/>
                <w:szCs w:val="20"/>
              </w:rPr>
              <w:t>3.1.2</w:t>
            </w:r>
            <w:r w:rsidR="000F20B0" w:rsidRPr="00831B38">
              <w:rPr>
                <w:rFonts w:ascii="Arial" w:hAnsi="Arial" w:cs="Arial"/>
                <w:noProof/>
                <w:sz w:val="20"/>
                <w:szCs w:val="20"/>
                <w:lang w:val="es-CR" w:eastAsia="es-CR"/>
              </w:rPr>
              <w:tab/>
            </w:r>
            <w:r w:rsidR="000F20B0" w:rsidRPr="00831B38">
              <w:rPr>
                <w:rStyle w:val="Hipervnculo"/>
                <w:rFonts w:ascii="Arial" w:hAnsi="Arial" w:cs="Arial"/>
                <w:iCs/>
                <w:noProof/>
                <w:spacing w:val="15"/>
                <w:sz w:val="20"/>
                <w:szCs w:val="20"/>
              </w:rPr>
              <w:t>Análisis de indicadores</w:t>
            </w:r>
            <w:r w:rsidR="000F20B0" w:rsidRPr="00831B38">
              <w:rPr>
                <w:rFonts w:ascii="Arial" w:hAnsi="Arial" w:cs="Arial"/>
                <w:noProof/>
                <w:webHidden/>
                <w:sz w:val="20"/>
                <w:szCs w:val="20"/>
              </w:rPr>
              <w:tab/>
            </w:r>
            <w:r w:rsidR="000F20B0" w:rsidRPr="00831B38">
              <w:rPr>
                <w:rFonts w:ascii="Arial" w:hAnsi="Arial" w:cs="Arial"/>
                <w:noProof/>
                <w:webHidden/>
                <w:sz w:val="20"/>
                <w:szCs w:val="20"/>
              </w:rPr>
              <w:fldChar w:fldCharType="begin"/>
            </w:r>
            <w:r w:rsidR="000F20B0" w:rsidRPr="00831B38">
              <w:rPr>
                <w:rFonts w:ascii="Arial" w:hAnsi="Arial" w:cs="Arial"/>
                <w:noProof/>
                <w:webHidden/>
                <w:sz w:val="20"/>
                <w:szCs w:val="20"/>
              </w:rPr>
              <w:instrText xml:space="preserve"> PAGEREF _Toc93673243 \h </w:instrText>
            </w:r>
            <w:r w:rsidR="000F20B0" w:rsidRPr="00831B38">
              <w:rPr>
                <w:rFonts w:ascii="Arial" w:hAnsi="Arial" w:cs="Arial"/>
                <w:noProof/>
                <w:webHidden/>
                <w:sz w:val="20"/>
                <w:szCs w:val="20"/>
              </w:rPr>
            </w:r>
            <w:r w:rsidR="000F20B0" w:rsidRPr="00831B38">
              <w:rPr>
                <w:rFonts w:ascii="Arial" w:hAnsi="Arial" w:cs="Arial"/>
                <w:noProof/>
                <w:webHidden/>
                <w:sz w:val="20"/>
                <w:szCs w:val="20"/>
              </w:rPr>
              <w:fldChar w:fldCharType="separate"/>
            </w:r>
            <w:r w:rsidR="00D00DBD">
              <w:rPr>
                <w:rFonts w:ascii="Arial" w:hAnsi="Arial" w:cs="Arial"/>
                <w:noProof/>
                <w:webHidden/>
                <w:sz w:val="20"/>
                <w:szCs w:val="20"/>
              </w:rPr>
              <w:t>17</w:t>
            </w:r>
            <w:r w:rsidR="000F20B0" w:rsidRPr="00831B38">
              <w:rPr>
                <w:rFonts w:ascii="Arial" w:hAnsi="Arial" w:cs="Arial"/>
                <w:noProof/>
                <w:webHidden/>
                <w:sz w:val="20"/>
                <w:szCs w:val="20"/>
              </w:rPr>
              <w:fldChar w:fldCharType="end"/>
            </w:r>
          </w:hyperlink>
        </w:p>
        <w:p w14:paraId="7C0B187A" w14:textId="77777777" w:rsidR="003C6623" w:rsidRDefault="005B50D6" w:rsidP="003C6623">
          <w:pPr>
            <w:spacing w:line="360" w:lineRule="auto"/>
            <w:rPr>
              <w:rFonts w:ascii="Arial" w:hAnsi="Arial" w:cs="Arial"/>
              <w:sz w:val="20"/>
              <w:szCs w:val="20"/>
            </w:rPr>
          </w:pPr>
          <w:r w:rsidRPr="00831B38">
            <w:rPr>
              <w:rFonts w:ascii="Arial" w:hAnsi="Arial" w:cs="Arial"/>
              <w:b/>
              <w:bCs/>
              <w:sz w:val="20"/>
              <w:szCs w:val="20"/>
            </w:rPr>
            <w:fldChar w:fldCharType="end"/>
          </w:r>
        </w:p>
      </w:sdtContent>
    </w:sdt>
    <w:bookmarkStart w:id="0" w:name="_Toc530474644" w:displacedByCustomXml="prev"/>
    <w:p w14:paraId="556CEDC2" w14:textId="4E3C580F" w:rsidR="00A03DA8" w:rsidRPr="003C6623" w:rsidRDefault="00A03DA8" w:rsidP="003C6623">
      <w:pPr>
        <w:spacing w:line="360" w:lineRule="auto"/>
        <w:rPr>
          <w:rStyle w:val="Ttulodellibro"/>
          <w:rFonts w:ascii="Arial" w:hAnsi="Arial" w:cs="Arial"/>
          <w:smallCaps w:val="0"/>
          <w:spacing w:val="0"/>
          <w:sz w:val="20"/>
          <w:szCs w:val="20"/>
        </w:rPr>
      </w:pPr>
      <w:r w:rsidRPr="00831B38">
        <w:rPr>
          <w:rStyle w:val="Ttulodellibro"/>
          <w:rFonts w:ascii="Arial" w:hAnsi="Arial" w:cs="Arial"/>
          <w:color w:val="000000" w:themeColor="text1"/>
          <w:sz w:val="20"/>
          <w:szCs w:val="20"/>
        </w:rPr>
        <w:br w:type="page"/>
      </w:r>
    </w:p>
    <w:bookmarkEnd w:id="0"/>
    <w:p w14:paraId="380CE7F4" w14:textId="77777777" w:rsidR="00651B9B" w:rsidRPr="00831B38" w:rsidRDefault="00651B9B" w:rsidP="0063648C">
      <w:pPr>
        <w:pStyle w:val="Prrafodelista"/>
        <w:numPr>
          <w:ilvl w:val="0"/>
          <w:numId w:val="6"/>
        </w:numPr>
        <w:spacing w:before="240" w:after="120" w:line="360" w:lineRule="auto"/>
        <w:ind w:left="426" w:hanging="284"/>
        <w:jc w:val="right"/>
        <w:rPr>
          <w:rFonts w:ascii="Arial" w:hAnsi="Arial" w:cs="Arial"/>
          <w:bCs/>
          <w:sz w:val="20"/>
          <w:szCs w:val="20"/>
        </w:rPr>
        <w:sectPr w:rsidR="00651B9B" w:rsidRPr="00831B38" w:rsidSect="00B04C62">
          <w:pgSz w:w="12242" w:h="15842" w:code="1"/>
          <w:pgMar w:top="1417" w:right="1701" w:bottom="1417" w:left="1701" w:header="737" w:footer="567" w:gutter="0"/>
          <w:pgNumType w:start="1"/>
          <w:cols w:space="708" w:equalWidth="0">
            <w:col w:w="8504"/>
          </w:cols>
          <w:titlePg/>
          <w:docGrid w:linePitch="360"/>
        </w:sectPr>
      </w:pPr>
    </w:p>
    <w:p w14:paraId="01CD3E78" w14:textId="783916B7" w:rsidR="00933226" w:rsidRPr="00831B38" w:rsidRDefault="00A837A1" w:rsidP="00F959E6">
      <w:pPr>
        <w:pStyle w:val="Ttulo2"/>
        <w:numPr>
          <w:ilvl w:val="0"/>
          <w:numId w:val="17"/>
        </w:numPr>
        <w:spacing w:line="360" w:lineRule="auto"/>
        <w:ind w:left="993" w:hanging="567"/>
        <w:jc w:val="both"/>
        <w:rPr>
          <w:rStyle w:val="Ttulodellibro"/>
          <w:rFonts w:ascii="Arial" w:hAnsi="Arial" w:cs="Arial"/>
          <w:bCs w:val="0"/>
          <w:color w:val="002060"/>
          <w:sz w:val="20"/>
          <w:szCs w:val="20"/>
        </w:rPr>
      </w:pPr>
      <w:bookmarkStart w:id="1" w:name="_Toc87963770"/>
      <w:bookmarkStart w:id="2" w:name="_Toc93673233"/>
      <w:bookmarkStart w:id="3" w:name="_Toc88819971"/>
      <w:bookmarkStart w:id="4" w:name="_Toc530474646"/>
      <w:bookmarkStart w:id="5" w:name="_Toc25758877"/>
      <w:bookmarkStart w:id="6" w:name="_Toc87963773"/>
      <w:r w:rsidRPr="00831B38">
        <w:rPr>
          <w:rStyle w:val="Ttulodellibro"/>
          <w:rFonts w:ascii="Arial" w:hAnsi="Arial" w:cs="Arial"/>
          <w:bCs w:val="0"/>
          <w:color w:val="002060"/>
          <w:sz w:val="20"/>
          <w:szCs w:val="20"/>
        </w:rPr>
        <w:lastRenderedPageBreak/>
        <w:t xml:space="preserve">Apartado </w:t>
      </w:r>
      <w:r w:rsidR="003F3A54" w:rsidRPr="00831B38">
        <w:rPr>
          <w:rStyle w:val="Ttulodellibro"/>
          <w:rFonts w:ascii="Arial" w:hAnsi="Arial" w:cs="Arial"/>
          <w:bCs w:val="0"/>
          <w:color w:val="002060"/>
          <w:sz w:val="20"/>
          <w:szCs w:val="20"/>
        </w:rPr>
        <w:t>f</w:t>
      </w:r>
      <w:r w:rsidRPr="00831B38">
        <w:rPr>
          <w:rStyle w:val="Ttulodellibro"/>
          <w:rFonts w:ascii="Arial" w:hAnsi="Arial" w:cs="Arial"/>
          <w:bCs w:val="0"/>
          <w:color w:val="002060"/>
          <w:sz w:val="20"/>
          <w:szCs w:val="20"/>
        </w:rPr>
        <w:t>inanciero</w:t>
      </w:r>
      <w:bookmarkEnd w:id="1"/>
      <w:bookmarkEnd w:id="2"/>
    </w:p>
    <w:p w14:paraId="48C4300C" w14:textId="3F0D1DBA" w:rsidR="00A837A1" w:rsidRPr="00831B38" w:rsidRDefault="00933226" w:rsidP="00F959E6">
      <w:pPr>
        <w:spacing w:before="160" w:line="360" w:lineRule="auto"/>
        <w:jc w:val="both"/>
        <w:rPr>
          <w:rFonts w:ascii="Arial" w:hAnsi="Arial" w:cs="Arial"/>
          <w:color w:val="000000" w:themeColor="text1"/>
          <w:sz w:val="20"/>
          <w:szCs w:val="20"/>
          <w:lang w:val="es-ES_tradnl"/>
        </w:rPr>
      </w:pPr>
      <w:r w:rsidRPr="00831B38">
        <w:rPr>
          <w:rFonts w:ascii="Arial" w:hAnsi="Arial" w:cs="Arial"/>
          <w:color w:val="000000" w:themeColor="text1"/>
          <w:sz w:val="20"/>
          <w:szCs w:val="20"/>
          <w:lang w:val="es-ES_tradnl"/>
        </w:rPr>
        <w:t>Centro gestor</w:t>
      </w:r>
      <w:bookmarkEnd w:id="3"/>
      <w:r w:rsidRPr="00831B38">
        <w:rPr>
          <w:rFonts w:ascii="Arial" w:hAnsi="Arial" w:cs="Arial"/>
          <w:color w:val="000000" w:themeColor="text1"/>
          <w:sz w:val="20"/>
          <w:szCs w:val="20"/>
          <w:lang w:val="es-ES_tradnl"/>
        </w:rPr>
        <w:t xml:space="preserve"> 043-Instituto Costarricense sobre Drogas</w:t>
      </w:r>
    </w:p>
    <w:p w14:paraId="69EDA1DC" w14:textId="77777777" w:rsidR="00A837A1" w:rsidRPr="00831B38" w:rsidRDefault="00A837A1" w:rsidP="00F959E6">
      <w:pPr>
        <w:pStyle w:val="Ttulo2"/>
        <w:numPr>
          <w:ilvl w:val="0"/>
          <w:numId w:val="0"/>
        </w:numPr>
        <w:spacing w:line="360" w:lineRule="auto"/>
        <w:jc w:val="both"/>
        <w:rPr>
          <w:rFonts w:ascii="Arial" w:hAnsi="Arial" w:cs="Arial"/>
          <w:iCs/>
          <w:smallCaps w:val="0"/>
          <w:color w:val="002060"/>
          <w:spacing w:val="15"/>
          <w:sz w:val="20"/>
          <w:szCs w:val="20"/>
        </w:rPr>
      </w:pPr>
      <w:bookmarkStart w:id="7" w:name="_Toc87963771"/>
      <w:bookmarkStart w:id="8" w:name="_Toc88819972"/>
      <w:bookmarkStart w:id="9" w:name="_Toc93673234"/>
      <w:r w:rsidRPr="00831B38">
        <w:rPr>
          <w:rFonts w:ascii="Arial" w:hAnsi="Arial" w:cs="Arial"/>
          <w:iCs/>
          <w:smallCaps w:val="0"/>
          <w:color w:val="002060"/>
          <w:spacing w:val="15"/>
          <w:sz w:val="20"/>
          <w:szCs w:val="20"/>
        </w:rPr>
        <w:t>2.1</w:t>
      </w:r>
      <w:r w:rsidRPr="00831B38">
        <w:rPr>
          <w:rFonts w:ascii="Arial" w:hAnsi="Arial" w:cs="Arial"/>
          <w:iCs/>
          <w:smallCaps w:val="0"/>
          <w:color w:val="002060"/>
          <w:spacing w:val="15"/>
          <w:sz w:val="20"/>
          <w:szCs w:val="20"/>
        </w:rPr>
        <w:tab/>
        <w:t>Ejecución del presupuesto 2021 asociado a recursos internos</w:t>
      </w:r>
      <w:bookmarkEnd w:id="7"/>
      <w:bookmarkEnd w:id="8"/>
      <w:bookmarkEnd w:id="9"/>
    </w:p>
    <w:p w14:paraId="15EEF377" w14:textId="642121DA" w:rsidR="001C7DCA" w:rsidRPr="00831B38" w:rsidRDefault="00012B92" w:rsidP="00F959E6">
      <w:pPr>
        <w:spacing w:before="240" w:line="360" w:lineRule="auto"/>
        <w:jc w:val="both"/>
        <w:rPr>
          <w:rFonts w:ascii="Arial" w:hAnsi="Arial" w:cs="Arial"/>
          <w:color w:val="FF0000"/>
          <w:sz w:val="20"/>
          <w:szCs w:val="20"/>
          <w:lang w:val="es-ES_tradnl"/>
        </w:rPr>
      </w:pPr>
      <w:r w:rsidRPr="00831B38">
        <w:rPr>
          <w:rFonts w:ascii="Arial" w:hAnsi="Arial" w:cs="Arial"/>
          <w:color w:val="000000" w:themeColor="text1"/>
          <w:sz w:val="20"/>
          <w:szCs w:val="20"/>
        </w:rPr>
        <w:t>Co</w:t>
      </w:r>
      <w:r w:rsidRPr="00831B38">
        <w:rPr>
          <w:rFonts w:ascii="Arial" w:hAnsi="Arial" w:cs="Arial"/>
          <w:color w:val="000000" w:themeColor="text1"/>
          <w:sz w:val="20"/>
          <w:szCs w:val="20"/>
          <w:lang w:val="es-ES_tradnl"/>
        </w:rPr>
        <w:t>n</w:t>
      </w:r>
      <w:r w:rsidR="00A837A1" w:rsidRPr="00831B38">
        <w:rPr>
          <w:rFonts w:ascii="Arial" w:hAnsi="Arial" w:cs="Arial"/>
          <w:color w:val="000000" w:themeColor="text1"/>
          <w:sz w:val="20"/>
          <w:szCs w:val="20"/>
          <w:lang w:val="es-ES_tradnl"/>
        </w:rPr>
        <w:t xml:space="preserve"> base en la información de la hoja “Liquidación” del archivo Excel remitido por la DGPN, se realiza un análisis conciso sobre el porcentaje de ejecución alcanzado en cada una de las partidas, considerando solamente lo financiado con recursos internos fuentes 001</w:t>
      </w:r>
      <w:r w:rsidRPr="00831B38">
        <w:rPr>
          <w:rFonts w:ascii="Arial" w:hAnsi="Arial" w:cs="Arial"/>
          <w:color w:val="000000" w:themeColor="text1"/>
          <w:sz w:val="20"/>
          <w:szCs w:val="20"/>
          <w:lang w:val="es-ES_tradnl"/>
        </w:rPr>
        <w:t xml:space="preserve"> y </w:t>
      </w:r>
      <w:r w:rsidR="00A837A1" w:rsidRPr="00831B38">
        <w:rPr>
          <w:rFonts w:ascii="Arial" w:hAnsi="Arial" w:cs="Arial"/>
          <w:color w:val="000000" w:themeColor="text1"/>
          <w:sz w:val="20"/>
          <w:szCs w:val="20"/>
          <w:lang w:val="es-ES_tradnl"/>
        </w:rPr>
        <w:t>28</w:t>
      </w:r>
      <w:r w:rsidRPr="00831B38">
        <w:rPr>
          <w:rFonts w:ascii="Arial" w:hAnsi="Arial" w:cs="Arial"/>
          <w:color w:val="000000" w:themeColor="text1"/>
          <w:sz w:val="20"/>
          <w:szCs w:val="20"/>
          <w:lang w:val="es-ES_tradnl"/>
        </w:rPr>
        <w:t>0</w:t>
      </w:r>
      <w:r w:rsidR="00DC7093" w:rsidRPr="00831B38">
        <w:rPr>
          <w:rFonts w:ascii="Arial" w:hAnsi="Arial" w:cs="Arial"/>
          <w:color w:val="FF0000"/>
          <w:sz w:val="20"/>
          <w:szCs w:val="20"/>
          <w:lang w:val="es-ES_tradnl"/>
        </w:rPr>
        <w:t>.</w:t>
      </w:r>
    </w:p>
    <w:tbl>
      <w:tblPr>
        <w:tblW w:w="12138" w:type="dxa"/>
        <w:tblCellMar>
          <w:left w:w="70" w:type="dxa"/>
          <w:right w:w="70" w:type="dxa"/>
        </w:tblCellMar>
        <w:tblLook w:val="04A0" w:firstRow="1" w:lastRow="0" w:firstColumn="1" w:lastColumn="0" w:noHBand="0" w:noVBand="1"/>
      </w:tblPr>
      <w:tblGrid>
        <w:gridCol w:w="2800"/>
        <w:gridCol w:w="2020"/>
        <w:gridCol w:w="1941"/>
        <w:gridCol w:w="1744"/>
        <w:gridCol w:w="1200"/>
        <w:gridCol w:w="1200"/>
        <w:gridCol w:w="1200"/>
        <w:gridCol w:w="33"/>
      </w:tblGrid>
      <w:tr w:rsidR="00DC7093" w:rsidRPr="00831B38" w14:paraId="26406255" w14:textId="77777777" w:rsidTr="000353BD">
        <w:trPr>
          <w:gridAfter w:val="1"/>
          <w:wAfter w:w="33" w:type="dxa"/>
          <w:trHeight w:val="300"/>
        </w:trPr>
        <w:tc>
          <w:tcPr>
            <w:tcW w:w="8505" w:type="dxa"/>
            <w:gridSpan w:val="4"/>
            <w:tcBorders>
              <w:top w:val="nil"/>
              <w:left w:val="nil"/>
              <w:bottom w:val="nil"/>
              <w:right w:val="nil"/>
            </w:tcBorders>
            <w:shd w:val="clear" w:color="auto" w:fill="auto"/>
            <w:noWrap/>
            <w:vAlign w:val="center"/>
            <w:hideMark/>
          </w:tcPr>
          <w:p w14:paraId="2AD47C96" w14:textId="77777777" w:rsidR="00DC7093" w:rsidRPr="00831B38" w:rsidRDefault="00DC7093" w:rsidP="00F959E6">
            <w:pPr>
              <w:spacing w:after="0" w:line="240" w:lineRule="auto"/>
              <w:jc w:val="center"/>
              <w:rPr>
                <w:rFonts w:ascii="Arial" w:eastAsia="Times New Roman" w:hAnsi="Arial" w:cs="Arial"/>
                <w:b/>
                <w:bCs/>
                <w:sz w:val="20"/>
                <w:szCs w:val="20"/>
                <w:lang w:val="es-CR" w:eastAsia="es-CR"/>
              </w:rPr>
            </w:pPr>
            <w:r w:rsidRPr="00831B38">
              <w:rPr>
                <w:rFonts w:ascii="Arial" w:eastAsia="Times New Roman" w:hAnsi="Arial" w:cs="Arial"/>
                <w:b/>
                <w:bCs/>
                <w:sz w:val="20"/>
                <w:szCs w:val="20"/>
                <w:lang w:val="es-CR" w:eastAsia="es-CR"/>
              </w:rPr>
              <w:t>Cuadro 1. Ejecución financiera institucional por clasificación objeto del gasto</w:t>
            </w:r>
          </w:p>
        </w:tc>
        <w:tc>
          <w:tcPr>
            <w:tcW w:w="1200" w:type="dxa"/>
            <w:tcBorders>
              <w:top w:val="nil"/>
              <w:left w:val="nil"/>
              <w:bottom w:val="nil"/>
              <w:right w:val="nil"/>
            </w:tcBorders>
            <w:shd w:val="clear" w:color="auto" w:fill="auto"/>
            <w:noWrap/>
            <w:vAlign w:val="bottom"/>
            <w:hideMark/>
          </w:tcPr>
          <w:p w14:paraId="34BC41B0" w14:textId="77777777" w:rsidR="00DC7093" w:rsidRPr="00831B38" w:rsidRDefault="00DC7093" w:rsidP="0063648C">
            <w:pPr>
              <w:spacing w:after="0" w:line="360" w:lineRule="auto"/>
              <w:jc w:val="right"/>
              <w:rPr>
                <w:rFonts w:ascii="Arial" w:eastAsia="Times New Roman" w:hAnsi="Arial" w:cs="Arial"/>
                <w:b/>
                <w:bCs/>
                <w:sz w:val="20"/>
                <w:szCs w:val="20"/>
                <w:lang w:val="es-CR" w:eastAsia="es-CR"/>
              </w:rPr>
            </w:pPr>
          </w:p>
        </w:tc>
        <w:tc>
          <w:tcPr>
            <w:tcW w:w="1200" w:type="dxa"/>
            <w:tcBorders>
              <w:top w:val="nil"/>
              <w:left w:val="nil"/>
              <w:bottom w:val="nil"/>
              <w:right w:val="nil"/>
            </w:tcBorders>
            <w:shd w:val="clear" w:color="auto" w:fill="auto"/>
            <w:noWrap/>
            <w:vAlign w:val="bottom"/>
            <w:hideMark/>
          </w:tcPr>
          <w:p w14:paraId="3530C372" w14:textId="77777777" w:rsidR="00DC7093" w:rsidRPr="00831B38" w:rsidRDefault="00DC7093" w:rsidP="0063648C">
            <w:pPr>
              <w:spacing w:after="0" w:line="360" w:lineRule="auto"/>
              <w:jc w:val="right"/>
              <w:rPr>
                <w:rFonts w:ascii="Arial" w:eastAsia="Times New Roman" w:hAnsi="Arial" w:cs="Arial"/>
                <w:sz w:val="20"/>
                <w:szCs w:val="20"/>
                <w:lang w:val="es-CR" w:eastAsia="es-CR"/>
              </w:rPr>
            </w:pPr>
          </w:p>
        </w:tc>
        <w:tc>
          <w:tcPr>
            <w:tcW w:w="1200" w:type="dxa"/>
            <w:tcBorders>
              <w:top w:val="nil"/>
              <w:left w:val="nil"/>
              <w:bottom w:val="nil"/>
              <w:right w:val="nil"/>
            </w:tcBorders>
            <w:shd w:val="clear" w:color="auto" w:fill="auto"/>
            <w:noWrap/>
            <w:vAlign w:val="bottom"/>
            <w:hideMark/>
          </w:tcPr>
          <w:p w14:paraId="2AC6C355" w14:textId="77777777" w:rsidR="00DC7093" w:rsidRPr="00831B38" w:rsidRDefault="00DC7093" w:rsidP="0063648C">
            <w:pPr>
              <w:spacing w:after="0" w:line="360" w:lineRule="auto"/>
              <w:jc w:val="right"/>
              <w:rPr>
                <w:rFonts w:ascii="Arial" w:eastAsia="Times New Roman" w:hAnsi="Arial" w:cs="Arial"/>
                <w:sz w:val="20"/>
                <w:szCs w:val="20"/>
                <w:lang w:val="es-CR" w:eastAsia="es-CR"/>
              </w:rPr>
            </w:pPr>
          </w:p>
        </w:tc>
      </w:tr>
      <w:tr w:rsidR="00DC7093" w:rsidRPr="00831B38" w14:paraId="65ECEE91" w14:textId="77777777" w:rsidTr="000353BD">
        <w:trPr>
          <w:gridAfter w:val="1"/>
          <w:wAfter w:w="33" w:type="dxa"/>
          <w:trHeight w:val="300"/>
        </w:trPr>
        <w:tc>
          <w:tcPr>
            <w:tcW w:w="8505" w:type="dxa"/>
            <w:gridSpan w:val="4"/>
            <w:tcBorders>
              <w:top w:val="nil"/>
              <w:left w:val="nil"/>
              <w:bottom w:val="nil"/>
              <w:right w:val="nil"/>
            </w:tcBorders>
            <w:shd w:val="clear" w:color="auto" w:fill="auto"/>
            <w:noWrap/>
            <w:vAlign w:val="center"/>
            <w:hideMark/>
          </w:tcPr>
          <w:p w14:paraId="0F09112D" w14:textId="77777777" w:rsidR="00DC7093" w:rsidRPr="00831B38" w:rsidRDefault="00DC7093" w:rsidP="00F959E6">
            <w:pPr>
              <w:spacing w:after="0" w:line="240" w:lineRule="auto"/>
              <w:jc w:val="center"/>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043- Instituto Costarricense Sobre Drogas</w:t>
            </w:r>
          </w:p>
        </w:tc>
        <w:tc>
          <w:tcPr>
            <w:tcW w:w="1200" w:type="dxa"/>
            <w:tcBorders>
              <w:top w:val="nil"/>
              <w:left w:val="nil"/>
              <w:bottom w:val="nil"/>
              <w:right w:val="nil"/>
            </w:tcBorders>
            <w:shd w:val="clear" w:color="auto" w:fill="auto"/>
            <w:noWrap/>
            <w:vAlign w:val="bottom"/>
            <w:hideMark/>
          </w:tcPr>
          <w:p w14:paraId="69E4AAF6" w14:textId="77777777" w:rsidR="00DC7093" w:rsidRPr="00831B38" w:rsidRDefault="00DC7093" w:rsidP="0063648C">
            <w:pPr>
              <w:spacing w:after="0" w:line="360" w:lineRule="auto"/>
              <w:jc w:val="right"/>
              <w:rPr>
                <w:rFonts w:ascii="Arial" w:eastAsia="Times New Roman" w:hAnsi="Arial" w:cs="Arial"/>
                <w:sz w:val="20"/>
                <w:szCs w:val="20"/>
                <w:lang w:val="es-CR" w:eastAsia="es-CR"/>
              </w:rPr>
            </w:pPr>
          </w:p>
        </w:tc>
        <w:tc>
          <w:tcPr>
            <w:tcW w:w="1200" w:type="dxa"/>
            <w:tcBorders>
              <w:top w:val="nil"/>
              <w:left w:val="nil"/>
              <w:bottom w:val="nil"/>
              <w:right w:val="nil"/>
            </w:tcBorders>
            <w:shd w:val="clear" w:color="auto" w:fill="auto"/>
            <w:noWrap/>
            <w:vAlign w:val="bottom"/>
            <w:hideMark/>
          </w:tcPr>
          <w:p w14:paraId="047F8161" w14:textId="77777777" w:rsidR="00DC7093" w:rsidRPr="00831B38" w:rsidRDefault="00DC7093" w:rsidP="0063648C">
            <w:pPr>
              <w:spacing w:after="0" w:line="360" w:lineRule="auto"/>
              <w:jc w:val="right"/>
              <w:rPr>
                <w:rFonts w:ascii="Arial" w:eastAsia="Times New Roman" w:hAnsi="Arial" w:cs="Arial"/>
                <w:sz w:val="20"/>
                <w:szCs w:val="20"/>
                <w:lang w:val="es-CR" w:eastAsia="es-CR"/>
              </w:rPr>
            </w:pPr>
          </w:p>
        </w:tc>
        <w:tc>
          <w:tcPr>
            <w:tcW w:w="1200" w:type="dxa"/>
            <w:tcBorders>
              <w:top w:val="nil"/>
              <w:left w:val="nil"/>
              <w:bottom w:val="nil"/>
              <w:right w:val="nil"/>
            </w:tcBorders>
            <w:shd w:val="clear" w:color="auto" w:fill="auto"/>
            <w:noWrap/>
            <w:vAlign w:val="bottom"/>
            <w:hideMark/>
          </w:tcPr>
          <w:p w14:paraId="2A9309D5" w14:textId="77777777" w:rsidR="00DC7093" w:rsidRPr="00831B38" w:rsidRDefault="00DC7093" w:rsidP="0063648C">
            <w:pPr>
              <w:spacing w:after="0" w:line="360" w:lineRule="auto"/>
              <w:jc w:val="right"/>
              <w:rPr>
                <w:rFonts w:ascii="Arial" w:eastAsia="Times New Roman" w:hAnsi="Arial" w:cs="Arial"/>
                <w:sz w:val="20"/>
                <w:szCs w:val="20"/>
                <w:lang w:val="es-CR" w:eastAsia="es-CR"/>
              </w:rPr>
            </w:pPr>
          </w:p>
        </w:tc>
      </w:tr>
      <w:tr w:rsidR="00DC7093" w:rsidRPr="00831B38" w14:paraId="1BF91A60" w14:textId="77777777" w:rsidTr="000353BD">
        <w:trPr>
          <w:gridAfter w:val="1"/>
          <w:wAfter w:w="33" w:type="dxa"/>
          <w:trHeight w:val="300"/>
        </w:trPr>
        <w:tc>
          <w:tcPr>
            <w:tcW w:w="8505" w:type="dxa"/>
            <w:gridSpan w:val="4"/>
            <w:tcBorders>
              <w:top w:val="nil"/>
              <w:left w:val="nil"/>
              <w:bottom w:val="nil"/>
              <w:right w:val="nil"/>
            </w:tcBorders>
            <w:shd w:val="clear" w:color="auto" w:fill="auto"/>
            <w:noWrap/>
            <w:vAlign w:val="center"/>
            <w:hideMark/>
          </w:tcPr>
          <w:p w14:paraId="4D8927BD" w14:textId="77777777" w:rsidR="00DC7093" w:rsidRPr="00831B38" w:rsidRDefault="00DC7093" w:rsidP="00F959E6">
            <w:pPr>
              <w:spacing w:after="0" w:line="240" w:lineRule="auto"/>
              <w:jc w:val="center"/>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Al 31 de diciembre 2021</w:t>
            </w:r>
          </w:p>
        </w:tc>
        <w:tc>
          <w:tcPr>
            <w:tcW w:w="1200" w:type="dxa"/>
            <w:tcBorders>
              <w:top w:val="nil"/>
              <w:left w:val="nil"/>
              <w:bottom w:val="nil"/>
              <w:right w:val="nil"/>
            </w:tcBorders>
            <w:shd w:val="clear" w:color="auto" w:fill="auto"/>
            <w:noWrap/>
            <w:vAlign w:val="bottom"/>
            <w:hideMark/>
          </w:tcPr>
          <w:p w14:paraId="21C64931" w14:textId="77777777" w:rsidR="00DC7093" w:rsidRPr="00831B38" w:rsidRDefault="00DC7093" w:rsidP="0063648C">
            <w:pPr>
              <w:spacing w:after="0" w:line="360" w:lineRule="auto"/>
              <w:jc w:val="right"/>
              <w:rPr>
                <w:rFonts w:ascii="Arial" w:eastAsia="Times New Roman" w:hAnsi="Arial" w:cs="Arial"/>
                <w:sz w:val="20"/>
                <w:szCs w:val="20"/>
                <w:lang w:val="es-CR" w:eastAsia="es-CR"/>
              </w:rPr>
            </w:pPr>
          </w:p>
        </w:tc>
        <w:tc>
          <w:tcPr>
            <w:tcW w:w="1200" w:type="dxa"/>
            <w:tcBorders>
              <w:top w:val="nil"/>
              <w:left w:val="nil"/>
              <w:bottom w:val="nil"/>
              <w:right w:val="nil"/>
            </w:tcBorders>
            <w:shd w:val="clear" w:color="auto" w:fill="auto"/>
            <w:noWrap/>
            <w:vAlign w:val="bottom"/>
            <w:hideMark/>
          </w:tcPr>
          <w:p w14:paraId="4EF293DF" w14:textId="77777777" w:rsidR="00DC7093" w:rsidRPr="00831B38" w:rsidRDefault="00DC7093" w:rsidP="0063648C">
            <w:pPr>
              <w:spacing w:after="0" w:line="360" w:lineRule="auto"/>
              <w:jc w:val="right"/>
              <w:rPr>
                <w:rFonts w:ascii="Arial" w:eastAsia="Times New Roman" w:hAnsi="Arial" w:cs="Arial"/>
                <w:sz w:val="20"/>
                <w:szCs w:val="20"/>
                <w:lang w:val="es-CR" w:eastAsia="es-CR"/>
              </w:rPr>
            </w:pPr>
          </w:p>
        </w:tc>
        <w:tc>
          <w:tcPr>
            <w:tcW w:w="1200" w:type="dxa"/>
            <w:tcBorders>
              <w:top w:val="nil"/>
              <w:left w:val="nil"/>
              <w:bottom w:val="nil"/>
              <w:right w:val="nil"/>
            </w:tcBorders>
            <w:shd w:val="clear" w:color="auto" w:fill="auto"/>
            <w:noWrap/>
            <w:vAlign w:val="bottom"/>
            <w:hideMark/>
          </w:tcPr>
          <w:p w14:paraId="4B1FBF42" w14:textId="77777777" w:rsidR="00DC7093" w:rsidRPr="00831B38" w:rsidRDefault="00DC7093" w:rsidP="0063648C">
            <w:pPr>
              <w:spacing w:after="0" w:line="360" w:lineRule="auto"/>
              <w:jc w:val="right"/>
              <w:rPr>
                <w:rFonts w:ascii="Arial" w:eastAsia="Times New Roman" w:hAnsi="Arial" w:cs="Arial"/>
                <w:sz w:val="20"/>
                <w:szCs w:val="20"/>
                <w:lang w:val="es-CR" w:eastAsia="es-CR"/>
              </w:rPr>
            </w:pPr>
          </w:p>
        </w:tc>
      </w:tr>
      <w:tr w:rsidR="00DC7093" w:rsidRPr="00831B38" w14:paraId="43CC588A" w14:textId="77777777" w:rsidTr="000353BD">
        <w:trPr>
          <w:gridAfter w:val="1"/>
          <w:wAfter w:w="33" w:type="dxa"/>
          <w:trHeight w:val="315"/>
        </w:trPr>
        <w:tc>
          <w:tcPr>
            <w:tcW w:w="8505" w:type="dxa"/>
            <w:gridSpan w:val="4"/>
            <w:tcBorders>
              <w:top w:val="nil"/>
              <w:left w:val="nil"/>
              <w:bottom w:val="single" w:sz="8" w:space="0" w:color="4F81BD"/>
              <w:right w:val="nil"/>
            </w:tcBorders>
            <w:shd w:val="clear" w:color="auto" w:fill="auto"/>
            <w:noWrap/>
            <w:vAlign w:val="center"/>
            <w:hideMark/>
          </w:tcPr>
          <w:p w14:paraId="3E758EB8" w14:textId="77777777" w:rsidR="00DC7093" w:rsidRPr="00831B38" w:rsidRDefault="00DC7093" w:rsidP="00F959E6">
            <w:pPr>
              <w:spacing w:after="0" w:line="240" w:lineRule="auto"/>
              <w:jc w:val="center"/>
              <w:rPr>
                <w:rFonts w:ascii="Arial" w:eastAsia="Times New Roman" w:hAnsi="Arial" w:cs="Arial"/>
                <w:i/>
                <w:iCs/>
                <w:sz w:val="20"/>
                <w:szCs w:val="20"/>
                <w:lang w:val="es-CR" w:eastAsia="es-CR"/>
              </w:rPr>
            </w:pPr>
            <w:r w:rsidRPr="00831B38">
              <w:rPr>
                <w:rFonts w:ascii="Arial" w:eastAsia="Times New Roman" w:hAnsi="Arial" w:cs="Arial"/>
                <w:i/>
                <w:iCs/>
                <w:sz w:val="20"/>
                <w:szCs w:val="20"/>
                <w:lang w:val="es-CR" w:eastAsia="es-CR"/>
              </w:rPr>
              <w:t>(en millones de colones)</w:t>
            </w:r>
          </w:p>
        </w:tc>
        <w:tc>
          <w:tcPr>
            <w:tcW w:w="1200" w:type="dxa"/>
            <w:tcBorders>
              <w:top w:val="nil"/>
              <w:left w:val="nil"/>
              <w:bottom w:val="nil"/>
              <w:right w:val="nil"/>
            </w:tcBorders>
            <w:shd w:val="clear" w:color="auto" w:fill="auto"/>
            <w:noWrap/>
            <w:vAlign w:val="bottom"/>
            <w:hideMark/>
          </w:tcPr>
          <w:p w14:paraId="3EF10B60" w14:textId="77777777" w:rsidR="00DC7093" w:rsidRPr="00831B38" w:rsidRDefault="00DC7093" w:rsidP="0063648C">
            <w:pPr>
              <w:spacing w:after="0" w:line="360" w:lineRule="auto"/>
              <w:jc w:val="right"/>
              <w:rPr>
                <w:rFonts w:ascii="Arial" w:eastAsia="Times New Roman" w:hAnsi="Arial" w:cs="Arial"/>
                <w:i/>
                <w:iCs/>
                <w:sz w:val="20"/>
                <w:szCs w:val="20"/>
                <w:lang w:val="es-CR" w:eastAsia="es-CR"/>
              </w:rPr>
            </w:pPr>
          </w:p>
        </w:tc>
        <w:tc>
          <w:tcPr>
            <w:tcW w:w="1200" w:type="dxa"/>
            <w:tcBorders>
              <w:top w:val="nil"/>
              <w:left w:val="nil"/>
              <w:bottom w:val="nil"/>
              <w:right w:val="nil"/>
            </w:tcBorders>
            <w:shd w:val="clear" w:color="auto" w:fill="auto"/>
            <w:noWrap/>
            <w:vAlign w:val="bottom"/>
            <w:hideMark/>
          </w:tcPr>
          <w:p w14:paraId="404E363F" w14:textId="77777777" w:rsidR="00DC7093" w:rsidRPr="00831B38" w:rsidRDefault="00DC7093" w:rsidP="0063648C">
            <w:pPr>
              <w:spacing w:after="0" w:line="360" w:lineRule="auto"/>
              <w:jc w:val="right"/>
              <w:rPr>
                <w:rFonts w:ascii="Arial" w:eastAsia="Times New Roman" w:hAnsi="Arial" w:cs="Arial"/>
                <w:sz w:val="20"/>
                <w:szCs w:val="20"/>
                <w:lang w:val="es-CR" w:eastAsia="es-CR"/>
              </w:rPr>
            </w:pPr>
          </w:p>
        </w:tc>
        <w:tc>
          <w:tcPr>
            <w:tcW w:w="1200" w:type="dxa"/>
            <w:tcBorders>
              <w:top w:val="nil"/>
              <w:left w:val="nil"/>
              <w:bottom w:val="nil"/>
              <w:right w:val="nil"/>
            </w:tcBorders>
            <w:shd w:val="clear" w:color="auto" w:fill="auto"/>
            <w:noWrap/>
            <w:vAlign w:val="bottom"/>
            <w:hideMark/>
          </w:tcPr>
          <w:p w14:paraId="1383D699" w14:textId="77777777" w:rsidR="00DC7093" w:rsidRPr="00831B38" w:rsidRDefault="00DC7093" w:rsidP="0063648C">
            <w:pPr>
              <w:spacing w:after="0" w:line="360" w:lineRule="auto"/>
              <w:jc w:val="right"/>
              <w:rPr>
                <w:rFonts w:ascii="Arial" w:eastAsia="Times New Roman" w:hAnsi="Arial" w:cs="Arial"/>
                <w:sz w:val="20"/>
                <w:szCs w:val="20"/>
                <w:lang w:val="es-CR" w:eastAsia="es-CR"/>
              </w:rPr>
            </w:pPr>
          </w:p>
        </w:tc>
      </w:tr>
      <w:tr w:rsidR="00DC7093" w:rsidRPr="00831B38" w14:paraId="176C1C73" w14:textId="77777777" w:rsidTr="000353BD">
        <w:trPr>
          <w:gridAfter w:val="1"/>
          <w:wAfter w:w="33" w:type="dxa"/>
          <w:trHeight w:val="525"/>
        </w:trPr>
        <w:tc>
          <w:tcPr>
            <w:tcW w:w="2800" w:type="dxa"/>
            <w:tcBorders>
              <w:top w:val="nil"/>
              <w:left w:val="single" w:sz="8" w:space="0" w:color="4F81BD"/>
              <w:bottom w:val="nil"/>
              <w:right w:val="nil"/>
            </w:tcBorders>
            <w:shd w:val="clear" w:color="000000" w:fill="4F81BD"/>
            <w:vAlign w:val="center"/>
            <w:hideMark/>
          </w:tcPr>
          <w:p w14:paraId="116D7F60" w14:textId="77777777" w:rsidR="00DC7093" w:rsidRPr="00831B38" w:rsidRDefault="00DC7093" w:rsidP="00EE3900">
            <w:pPr>
              <w:spacing w:after="0" w:line="360" w:lineRule="auto"/>
              <w:jc w:val="center"/>
              <w:rPr>
                <w:rFonts w:ascii="Arial" w:eastAsia="Times New Roman" w:hAnsi="Arial" w:cs="Arial"/>
                <w:b/>
                <w:bCs/>
                <w:color w:val="FFFFFF"/>
                <w:sz w:val="20"/>
                <w:szCs w:val="20"/>
                <w:lang w:val="es-CR" w:eastAsia="es-CR"/>
              </w:rPr>
            </w:pPr>
            <w:r w:rsidRPr="00831B38">
              <w:rPr>
                <w:rFonts w:ascii="Arial" w:eastAsia="Times New Roman" w:hAnsi="Arial" w:cs="Arial"/>
                <w:b/>
                <w:bCs/>
                <w:color w:val="FFFFFF"/>
                <w:sz w:val="20"/>
                <w:szCs w:val="20"/>
                <w:lang w:val="es-CR" w:eastAsia="es-CR"/>
              </w:rPr>
              <w:t>Partida</w:t>
            </w:r>
          </w:p>
        </w:tc>
        <w:tc>
          <w:tcPr>
            <w:tcW w:w="2020" w:type="dxa"/>
            <w:tcBorders>
              <w:top w:val="nil"/>
              <w:left w:val="single" w:sz="8" w:space="0" w:color="4F81BD"/>
              <w:bottom w:val="nil"/>
              <w:right w:val="single" w:sz="8" w:space="0" w:color="4F81BD"/>
            </w:tcBorders>
            <w:shd w:val="clear" w:color="000000" w:fill="4F81BD"/>
            <w:vAlign w:val="center"/>
            <w:hideMark/>
          </w:tcPr>
          <w:p w14:paraId="30BC462A" w14:textId="77777777" w:rsidR="00DC7093" w:rsidRPr="00831B38" w:rsidRDefault="00DC7093" w:rsidP="00EE3900">
            <w:pPr>
              <w:spacing w:after="0" w:line="360" w:lineRule="auto"/>
              <w:jc w:val="center"/>
              <w:rPr>
                <w:rFonts w:ascii="Arial" w:eastAsia="Times New Roman" w:hAnsi="Arial" w:cs="Arial"/>
                <w:b/>
                <w:bCs/>
                <w:color w:val="FFFFFF"/>
                <w:sz w:val="20"/>
                <w:szCs w:val="20"/>
                <w:lang w:val="es-CR" w:eastAsia="es-CR"/>
              </w:rPr>
            </w:pPr>
            <w:r w:rsidRPr="00831B38">
              <w:rPr>
                <w:rFonts w:ascii="Arial" w:eastAsia="Times New Roman" w:hAnsi="Arial" w:cs="Arial"/>
                <w:b/>
                <w:bCs/>
                <w:color w:val="FFFFFF"/>
                <w:sz w:val="20"/>
                <w:szCs w:val="20"/>
                <w:lang w:val="es-CR" w:eastAsia="es-CR"/>
              </w:rPr>
              <w:t>Presupuesto actual</w:t>
            </w:r>
            <w:r w:rsidRPr="00831B38">
              <w:rPr>
                <w:rFonts w:ascii="Arial" w:eastAsia="Times New Roman" w:hAnsi="Arial" w:cs="Arial"/>
                <w:b/>
                <w:bCs/>
                <w:color w:val="FFFFFF"/>
                <w:sz w:val="20"/>
                <w:szCs w:val="20"/>
                <w:vertAlign w:val="superscript"/>
                <w:lang w:val="es-CR" w:eastAsia="es-CR"/>
              </w:rPr>
              <w:t>/1</w:t>
            </w:r>
            <w:r w:rsidRPr="00831B38">
              <w:rPr>
                <w:rFonts w:ascii="Arial" w:eastAsia="Times New Roman" w:hAnsi="Arial" w:cs="Arial"/>
                <w:b/>
                <w:bCs/>
                <w:color w:val="FFFFFF"/>
                <w:sz w:val="20"/>
                <w:szCs w:val="20"/>
                <w:lang w:val="es-CR" w:eastAsia="es-CR"/>
              </w:rPr>
              <w:t xml:space="preserve"> 2021</w:t>
            </w:r>
          </w:p>
        </w:tc>
        <w:tc>
          <w:tcPr>
            <w:tcW w:w="1941" w:type="dxa"/>
            <w:tcBorders>
              <w:top w:val="nil"/>
              <w:left w:val="nil"/>
              <w:bottom w:val="nil"/>
              <w:right w:val="nil"/>
            </w:tcBorders>
            <w:shd w:val="clear" w:color="000000" w:fill="4F81BD"/>
            <w:vAlign w:val="center"/>
            <w:hideMark/>
          </w:tcPr>
          <w:p w14:paraId="41DC8D41" w14:textId="77777777" w:rsidR="00DC7093" w:rsidRPr="00831B38" w:rsidRDefault="00DC7093" w:rsidP="00EE3900">
            <w:pPr>
              <w:spacing w:after="0" w:line="360" w:lineRule="auto"/>
              <w:jc w:val="center"/>
              <w:rPr>
                <w:rFonts w:ascii="Arial" w:eastAsia="Times New Roman" w:hAnsi="Arial" w:cs="Arial"/>
                <w:b/>
                <w:bCs/>
                <w:color w:val="FFFFFF"/>
                <w:sz w:val="20"/>
                <w:szCs w:val="20"/>
                <w:lang w:val="es-CR" w:eastAsia="es-CR"/>
              </w:rPr>
            </w:pPr>
            <w:r w:rsidRPr="00831B38">
              <w:rPr>
                <w:rFonts w:ascii="Arial" w:eastAsia="Times New Roman" w:hAnsi="Arial" w:cs="Arial"/>
                <w:b/>
                <w:bCs/>
                <w:color w:val="FFFFFF"/>
                <w:sz w:val="20"/>
                <w:szCs w:val="20"/>
                <w:lang w:val="es-CR" w:eastAsia="es-CR"/>
              </w:rPr>
              <w:t>Presupuesto ejecutado</w:t>
            </w:r>
            <w:r w:rsidRPr="00831B38">
              <w:rPr>
                <w:rFonts w:ascii="Arial" w:eastAsia="Times New Roman" w:hAnsi="Arial" w:cs="Arial"/>
                <w:b/>
                <w:bCs/>
                <w:color w:val="FFFFFF"/>
                <w:sz w:val="20"/>
                <w:szCs w:val="20"/>
                <w:vertAlign w:val="superscript"/>
                <w:lang w:val="es-CR" w:eastAsia="es-CR"/>
              </w:rPr>
              <w:t>/2</w:t>
            </w:r>
            <w:r w:rsidRPr="00831B38">
              <w:rPr>
                <w:rFonts w:ascii="Arial" w:eastAsia="Times New Roman" w:hAnsi="Arial" w:cs="Arial"/>
                <w:b/>
                <w:bCs/>
                <w:color w:val="FFFFFF"/>
                <w:sz w:val="20"/>
                <w:szCs w:val="20"/>
                <w:lang w:val="es-CR" w:eastAsia="es-CR"/>
              </w:rPr>
              <w:t xml:space="preserve"> 2021</w:t>
            </w:r>
          </w:p>
        </w:tc>
        <w:tc>
          <w:tcPr>
            <w:tcW w:w="1744" w:type="dxa"/>
            <w:tcBorders>
              <w:top w:val="nil"/>
              <w:left w:val="single" w:sz="8" w:space="0" w:color="4F81BD"/>
              <w:bottom w:val="nil"/>
              <w:right w:val="single" w:sz="8" w:space="0" w:color="4F81BD"/>
            </w:tcBorders>
            <w:shd w:val="clear" w:color="000000" w:fill="4F81BD"/>
            <w:vAlign w:val="center"/>
            <w:hideMark/>
          </w:tcPr>
          <w:p w14:paraId="4523C1D7" w14:textId="77777777" w:rsidR="00DC7093" w:rsidRPr="00831B38" w:rsidRDefault="00DC7093" w:rsidP="00EE3900">
            <w:pPr>
              <w:spacing w:after="0" w:line="360" w:lineRule="auto"/>
              <w:jc w:val="center"/>
              <w:rPr>
                <w:rFonts w:ascii="Arial" w:eastAsia="Times New Roman" w:hAnsi="Arial" w:cs="Arial"/>
                <w:b/>
                <w:bCs/>
                <w:color w:val="FFFFFF"/>
                <w:sz w:val="20"/>
                <w:szCs w:val="20"/>
                <w:lang w:val="es-CR" w:eastAsia="es-CR"/>
              </w:rPr>
            </w:pPr>
            <w:r w:rsidRPr="00831B38">
              <w:rPr>
                <w:rFonts w:ascii="Arial" w:eastAsia="Times New Roman" w:hAnsi="Arial" w:cs="Arial"/>
                <w:b/>
                <w:bCs/>
                <w:color w:val="FFFFFF"/>
                <w:sz w:val="20"/>
                <w:szCs w:val="20"/>
                <w:lang w:val="es-CR" w:eastAsia="es-CR"/>
              </w:rPr>
              <w:t>Nivel de ejecución</w:t>
            </w:r>
          </w:p>
        </w:tc>
        <w:tc>
          <w:tcPr>
            <w:tcW w:w="1200" w:type="dxa"/>
            <w:tcBorders>
              <w:top w:val="nil"/>
              <w:left w:val="nil"/>
              <w:bottom w:val="nil"/>
              <w:right w:val="nil"/>
            </w:tcBorders>
            <w:shd w:val="clear" w:color="auto" w:fill="auto"/>
            <w:noWrap/>
            <w:vAlign w:val="bottom"/>
            <w:hideMark/>
          </w:tcPr>
          <w:p w14:paraId="07D03D09" w14:textId="77777777" w:rsidR="00DC7093" w:rsidRPr="00831B38" w:rsidRDefault="00DC7093" w:rsidP="0063648C">
            <w:pPr>
              <w:spacing w:after="0" w:line="360" w:lineRule="auto"/>
              <w:jc w:val="right"/>
              <w:rPr>
                <w:rFonts w:ascii="Arial" w:eastAsia="Times New Roman" w:hAnsi="Arial" w:cs="Arial"/>
                <w:b/>
                <w:bCs/>
                <w:color w:val="FFFFFF"/>
                <w:sz w:val="20"/>
                <w:szCs w:val="20"/>
                <w:lang w:val="es-CR" w:eastAsia="es-CR"/>
              </w:rPr>
            </w:pPr>
          </w:p>
        </w:tc>
        <w:tc>
          <w:tcPr>
            <w:tcW w:w="1200" w:type="dxa"/>
            <w:tcBorders>
              <w:top w:val="nil"/>
              <w:left w:val="nil"/>
              <w:bottom w:val="nil"/>
              <w:right w:val="nil"/>
            </w:tcBorders>
            <w:shd w:val="clear" w:color="auto" w:fill="auto"/>
            <w:noWrap/>
            <w:vAlign w:val="bottom"/>
            <w:hideMark/>
          </w:tcPr>
          <w:p w14:paraId="5AC23345" w14:textId="77777777" w:rsidR="00DC7093" w:rsidRPr="00831B38" w:rsidRDefault="00DC7093" w:rsidP="0063648C">
            <w:pPr>
              <w:spacing w:after="0" w:line="360" w:lineRule="auto"/>
              <w:jc w:val="right"/>
              <w:rPr>
                <w:rFonts w:ascii="Arial" w:eastAsia="Times New Roman" w:hAnsi="Arial" w:cs="Arial"/>
                <w:sz w:val="20"/>
                <w:szCs w:val="20"/>
                <w:lang w:val="es-CR" w:eastAsia="es-CR"/>
              </w:rPr>
            </w:pPr>
          </w:p>
        </w:tc>
        <w:tc>
          <w:tcPr>
            <w:tcW w:w="1200" w:type="dxa"/>
            <w:tcBorders>
              <w:top w:val="nil"/>
              <w:left w:val="nil"/>
              <w:bottom w:val="nil"/>
              <w:right w:val="nil"/>
            </w:tcBorders>
            <w:shd w:val="clear" w:color="auto" w:fill="auto"/>
            <w:noWrap/>
            <w:vAlign w:val="bottom"/>
            <w:hideMark/>
          </w:tcPr>
          <w:p w14:paraId="6735D653" w14:textId="77777777" w:rsidR="00DC7093" w:rsidRPr="00831B38" w:rsidRDefault="00DC7093" w:rsidP="0063648C">
            <w:pPr>
              <w:spacing w:after="0" w:line="360" w:lineRule="auto"/>
              <w:jc w:val="right"/>
              <w:rPr>
                <w:rFonts w:ascii="Arial" w:eastAsia="Times New Roman" w:hAnsi="Arial" w:cs="Arial"/>
                <w:sz w:val="20"/>
                <w:szCs w:val="20"/>
                <w:lang w:val="es-CR" w:eastAsia="es-CR"/>
              </w:rPr>
            </w:pPr>
          </w:p>
        </w:tc>
      </w:tr>
      <w:tr w:rsidR="00DC7093" w:rsidRPr="00831B38" w14:paraId="0E5B411A" w14:textId="77777777" w:rsidTr="000353BD">
        <w:trPr>
          <w:gridAfter w:val="1"/>
          <w:wAfter w:w="33" w:type="dxa"/>
          <w:trHeight w:val="353"/>
        </w:trPr>
        <w:tc>
          <w:tcPr>
            <w:tcW w:w="2800" w:type="dxa"/>
            <w:tcBorders>
              <w:top w:val="single" w:sz="8" w:space="0" w:color="4F81BD"/>
              <w:left w:val="single" w:sz="8" w:space="0" w:color="4F81BD"/>
              <w:bottom w:val="single" w:sz="8" w:space="0" w:color="4F81BD"/>
              <w:right w:val="nil"/>
            </w:tcBorders>
            <w:shd w:val="clear" w:color="auto" w:fill="auto"/>
            <w:noWrap/>
            <w:vAlign w:val="center"/>
            <w:hideMark/>
          </w:tcPr>
          <w:p w14:paraId="298C29A4" w14:textId="77777777" w:rsidR="00DC7093" w:rsidRPr="00831B38" w:rsidRDefault="00DC7093" w:rsidP="00B0410A">
            <w:pPr>
              <w:spacing w:after="0" w:line="360" w:lineRule="auto"/>
              <w:rPr>
                <w:rFonts w:ascii="Arial" w:eastAsia="Times New Roman" w:hAnsi="Arial" w:cs="Arial"/>
                <w:b/>
                <w:bCs/>
                <w:sz w:val="20"/>
                <w:szCs w:val="20"/>
                <w:lang w:val="es-CR" w:eastAsia="es-CR"/>
              </w:rPr>
            </w:pPr>
            <w:r w:rsidRPr="00831B38">
              <w:rPr>
                <w:rFonts w:ascii="Arial" w:eastAsia="Times New Roman" w:hAnsi="Arial" w:cs="Arial"/>
                <w:b/>
                <w:bCs/>
                <w:sz w:val="20"/>
                <w:szCs w:val="20"/>
                <w:lang w:val="es-CR" w:eastAsia="es-CR"/>
              </w:rPr>
              <w:t>TOTAL</w:t>
            </w:r>
          </w:p>
        </w:tc>
        <w:tc>
          <w:tcPr>
            <w:tcW w:w="2020" w:type="dxa"/>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14:paraId="01264575" w14:textId="6E4B1D20" w:rsidR="00DC7093" w:rsidRPr="00831B38" w:rsidRDefault="00DC7093" w:rsidP="00B0410A">
            <w:pPr>
              <w:spacing w:after="0" w:line="360" w:lineRule="auto"/>
              <w:jc w:val="center"/>
              <w:rPr>
                <w:rFonts w:ascii="Arial" w:eastAsia="Times New Roman" w:hAnsi="Arial" w:cs="Arial"/>
                <w:b/>
                <w:bCs/>
                <w:sz w:val="20"/>
                <w:szCs w:val="20"/>
                <w:lang w:val="es-CR" w:eastAsia="es-CR"/>
              </w:rPr>
            </w:pPr>
            <w:r w:rsidRPr="00831B38">
              <w:rPr>
                <w:rFonts w:ascii="Arial" w:eastAsia="Times New Roman" w:hAnsi="Arial" w:cs="Arial"/>
                <w:b/>
                <w:bCs/>
                <w:sz w:val="20"/>
                <w:szCs w:val="20"/>
                <w:lang w:val="es-CR" w:eastAsia="es-CR"/>
              </w:rPr>
              <w:t>4 285,70</w:t>
            </w:r>
          </w:p>
        </w:tc>
        <w:tc>
          <w:tcPr>
            <w:tcW w:w="1941" w:type="dxa"/>
            <w:tcBorders>
              <w:top w:val="single" w:sz="8" w:space="0" w:color="4F81BD"/>
              <w:left w:val="nil"/>
              <w:bottom w:val="single" w:sz="8" w:space="0" w:color="4F81BD"/>
              <w:right w:val="single" w:sz="8" w:space="0" w:color="4F81BD"/>
            </w:tcBorders>
            <w:shd w:val="clear" w:color="auto" w:fill="auto"/>
            <w:noWrap/>
            <w:vAlign w:val="center"/>
            <w:hideMark/>
          </w:tcPr>
          <w:p w14:paraId="34435AEB" w14:textId="4225BD6C" w:rsidR="00DC7093" w:rsidRPr="00831B38" w:rsidRDefault="00DC7093" w:rsidP="00B0410A">
            <w:pPr>
              <w:spacing w:after="0" w:line="360" w:lineRule="auto"/>
              <w:jc w:val="center"/>
              <w:rPr>
                <w:rFonts w:ascii="Arial" w:eastAsia="Times New Roman" w:hAnsi="Arial" w:cs="Arial"/>
                <w:b/>
                <w:bCs/>
                <w:sz w:val="20"/>
                <w:szCs w:val="20"/>
                <w:lang w:val="es-CR" w:eastAsia="es-CR"/>
              </w:rPr>
            </w:pPr>
            <w:r w:rsidRPr="00831B38">
              <w:rPr>
                <w:rFonts w:ascii="Arial" w:eastAsia="Times New Roman" w:hAnsi="Arial" w:cs="Arial"/>
                <w:b/>
                <w:bCs/>
                <w:sz w:val="20"/>
                <w:szCs w:val="20"/>
                <w:lang w:val="es-CR" w:eastAsia="es-CR"/>
              </w:rPr>
              <w:t>3 896,94</w:t>
            </w:r>
          </w:p>
        </w:tc>
        <w:tc>
          <w:tcPr>
            <w:tcW w:w="1744" w:type="dxa"/>
            <w:tcBorders>
              <w:top w:val="single" w:sz="8" w:space="0" w:color="4F81BD"/>
              <w:left w:val="nil"/>
              <w:bottom w:val="single" w:sz="8" w:space="0" w:color="4F81BD"/>
              <w:right w:val="single" w:sz="8" w:space="0" w:color="4F81BD"/>
            </w:tcBorders>
            <w:shd w:val="clear" w:color="auto" w:fill="auto"/>
            <w:noWrap/>
            <w:vAlign w:val="center"/>
            <w:hideMark/>
          </w:tcPr>
          <w:p w14:paraId="1703B2CE" w14:textId="77777777" w:rsidR="00DC7093" w:rsidRPr="00831B38" w:rsidRDefault="00DC7093" w:rsidP="00B0410A">
            <w:pPr>
              <w:spacing w:after="0" w:line="360" w:lineRule="auto"/>
              <w:jc w:val="center"/>
              <w:rPr>
                <w:rFonts w:ascii="Arial" w:eastAsia="Times New Roman" w:hAnsi="Arial" w:cs="Arial"/>
                <w:b/>
                <w:bCs/>
                <w:sz w:val="20"/>
                <w:szCs w:val="20"/>
                <w:lang w:val="es-CR" w:eastAsia="es-CR"/>
              </w:rPr>
            </w:pPr>
            <w:r w:rsidRPr="00831B38">
              <w:rPr>
                <w:rFonts w:ascii="Arial" w:eastAsia="Times New Roman" w:hAnsi="Arial" w:cs="Arial"/>
                <w:b/>
                <w:bCs/>
                <w:sz w:val="20"/>
                <w:szCs w:val="20"/>
                <w:lang w:val="es-CR" w:eastAsia="es-CR"/>
              </w:rPr>
              <w:t>90,93%</w:t>
            </w:r>
          </w:p>
        </w:tc>
        <w:tc>
          <w:tcPr>
            <w:tcW w:w="1200" w:type="dxa"/>
            <w:tcBorders>
              <w:top w:val="nil"/>
              <w:left w:val="nil"/>
              <w:bottom w:val="nil"/>
              <w:right w:val="nil"/>
            </w:tcBorders>
            <w:shd w:val="clear" w:color="auto" w:fill="auto"/>
            <w:noWrap/>
            <w:vAlign w:val="bottom"/>
            <w:hideMark/>
          </w:tcPr>
          <w:p w14:paraId="03EF481E" w14:textId="77777777" w:rsidR="00DC7093" w:rsidRPr="00831B38" w:rsidRDefault="00DC7093" w:rsidP="0063648C">
            <w:pPr>
              <w:spacing w:after="0" w:line="360" w:lineRule="auto"/>
              <w:jc w:val="right"/>
              <w:rPr>
                <w:rFonts w:ascii="Arial" w:eastAsia="Times New Roman" w:hAnsi="Arial" w:cs="Arial"/>
                <w:b/>
                <w:bCs/>
                <w:sz w:val="20"/>
                <w:szCs w:val="20"/>
                <w:lang w:val="es-CR" w:eastAsia="es-CR"/>
              </w:rPr>
            </w:pPr>
          </w:p>
        </w:tc>
        <w:tc>
          <w:tcPr>
            <w:tcW w:w="1200" w:type="dxa"/>
            <w:tcBorders>
              <w:top w:val="nil"/>
              <w:left w:val="nil"/>
              <w:bottom w:val="nil"/>
              <w:right w:val="nil"/>
            </w:tcBorders>
            <w:shd w:val="clear" w:color="auto" w:fill="auto"/>
            <w:noWrap/>
            <w:vAlign w:val="bottom"/>
            <w:hideMark/>
          </w:tcPr>
          <w:p w14:paraId="0DAE565E" w14:textId="77777777" w:rsidR="00DC7093" w:rsidRPr="00831B38" w:rsidRDefault="00DC7093" w:rsidP="0063648C">
            <w:pPr>
              <w:spacing w:after="0" w:line="360" w:lineRule="auto"/>
              <w:jc w:val="right"/>
              <w:rPr>
                <w:rFonts w:ascii="Arial" w:eastAsia="Times New Roman" w:hAnsi="Arial" w:cs="Arial"/>
                <w:sz w:val="20"/>
                <w:szCs w:val="20"/>
                <w:lang w:val="es-CR" w:eastAsia="es-CR"/>
              </w:rPr>
            </w:pPr>
          </w:p>
        </w:tc>
        <w:tc>
          <w:tcPr>
            <w:tcW w:w="1200" w:type="dxa"/>
            <w:tcBorders>
              <w:top w:val="nil"/>
              <w:left w:val="nil"/>
              <w:bottom w:val="nil"/>
              <w:right w:val="nil"/>
            </w:tcBorders>
            <w:shd w:val="clear" w:color="auto" w:fill="auto"/>
            <w:noWrap/>
            <w:vAlign w:val="bottom"/>
            <w:hideMark/>
          </w:tcPr>
          <w:p w14:paraId="74341D77" w14:textId="77777777" w:rsidR="00DC7093" w:rsidRPr="00831B38" w:rsidRDefault="00DC7093" w:rsidP="0063648C">
            <w:pPr>
              <w:spacing w:after="0" w:line="360" w:lineRule="auto"/>
              <w:jc w:val="right"/>
              <w:rPr>
                <w:rFonts w:ascii="Arial" w:eastAsia="Times New Roman" w:hAnsi="Arial" w:cs="Arial"/>
                <w:sz w:val="20"/>
                <w:szCs w:val="20"/>
                <w:lang w:val="es-CR" w:eastAsia="es-CR"/>
              </w:rPr>
            </w:pPr>
          </w:p>
        </w:tc>
      </w:tr>
      <w:tr w:rsidR="00DC7093" w:rsidRPr="00831B38" w14:paraId="7CD4D93F" w14:textId="77777777" w:rsidTr="000353BD">
        <w:trPr>
          <w:gridAfter w:val="1"/>
          <w:wAfter w:w="33" w:type="dxa"/>
          <w:trHeight w:val="353"/>
        </w:trPr>
        <w:tc>
          <w:tcPr>
            <w:tcW w:w="2800" w:type="dxa"/>
            <w:tcBorders>
              <w:top w:val="nil"/>
              <w:left w:val="single" w:sz="8" w:space="0" w:color="4F81BD"/>
              <w:bottom w:val="nil"/>
              <w:right w:val="nil"/>
            </w:tcBorders>
            <w:shd w:val="clear" w:color="auto" w:fill="auto"/>
            <w:noWrap/>
            <w:vAlign w:val="center"/>
            <w:hideMark/>
          </w:tcPr>
          <w:p w14:paraId="5DDD3CAA" w14:textId="77777777" w:rsidR="00DC7093" w:rsidRPr="00831B38" w:rsidRDefault="00DC7093" w:rsidP="00B0410A">
            <w:pPr>
              <w:spacing w:after="0" w:line="360" w:lineRule="auto"/>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Recurso externo</w:t>
            </w:r>
          </w:p>
        </w:tc>
        <w:tc>
          <w:tcPr>
            <w:tcW w:w="2020" w:type="dxa"/>
            <w:tcBorders>
              <w:top w:val="nil"/>
              <w:left w:val="single" w:sz="8" w:space="0" w:color="4F81BD"/>
              <w:bottom w:val="nil"/>
              <w:right w:val="single" w:sz="8" w:space="0" w:color="4F81BD"/>
            </w:tcBorders>
            <w:shd w:val="clear" w:color="auto" w:fill="auto"/>
            <w:noWrap/>
            <w:vAlign w:val="center"/>
            <w:hideMark/>
          </w:tcPr>
          <w:p w14:paraId="0B6D24C5" w14:textId="5842D3E9" w:rsidR="00DC7093" w:rsidRPr="00831B38" w:rsidRDefault="00B22054" w:rsidP="00B0410A">
            <w:pPr>
              <w:spacing w:after="0" w:line="360" w:lineRule="auto"/>
              <w:jc w:val="center"/>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w:t>
            </w:r>
          </w:p>
        </w:tc>
        <w:tc>
          <w:tcPr>
            <w:tcW w:w="1941" w:type="dxa"/>
            <w:tcBorders>
              <w:top w:val="nil"/>
              <w:left w:val="nil"/>
              <w:bottom w:val="nil"/>
              <w:right w:val="nil"/>
            </w:tcBorders>
            <w:shd w:val="clear" w:color="auto" w:fill="auto"/>
            <w:noWrap/>
            <w:vAlign w:val="center"/>
            <w:hideMark/>
          </w:tcPr>
          <w:p w14:paraId="75285954" w14:textId="253CFE47" w:rsidR="00DC7093" w:rsidRPr="00831B38" w:rsidRDefault="00B22054" w:rsidP="00B0410A">
            <w:pPr>
              <w:spacing w:after="0" w:line="360" w:lineRule="auto"/>
              <w:jc w:val="center"/>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w:t>
            </w:r>
          </w:p>
        </w:tc>
        <w:tc>
          <w:tcPr>
            <w:tcW w:w="1744" w:type="dxa"/>
            <w:tcBorders>
              <w:top w:val="nil"/>
              <w:left w:val="single" w:sz="8" w:space="0" w:color="4F81BD"/>
              <w:bottom w:val="single" w:sz="8" w:space="0" w:color="4F81BD"/>
              <w:right w:val="single" w:sz="8" w:space="0" w:color="4F81BD"/>
            </w:tcBorders>
            <w:shd w:val="clear" w:color="auto" w:fill="auto"/>
            <w:noWrap/>
            <w:vAlign w:val="center"/>
            <w:hideMark/>
          </w:tcPr>
          <w:p w14:paraId="27F7DB76" w14:textId="312FC2DE" w:rsidR="00DC7093" w:rsidRPr="00831B38" w:rsidRDefault="00B22054" w:rsidP="00B0410A">
            <w:pPr>
              <w:spacing w:after="0" w:line="360" w:lineRule="auto"/>
              <w:jc w:val="center"/>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w:t>
            </w:r>
          </w:p>
        </w:tc>
        <w:tc>
          <w:tcPr>
            <w:tcW w:w="1200" w:type="dxa"/>
            <w:tcBorders>
              <w:top w:val="nil"/>
              <w:left w:val="nil"/>
              <w:bottom w:val="nil"/>
              <w:right w:val="nil"/>
            </w:tcBorders>
            <w:shd w:val="clear" w:color="auto" w:fill="auto"/>
            <w:noWrap/>
            <w:vAlign w:val="bottom"/>
            <w:hideMark/>
          </w:tcPr>
          <w:p w14:paraId="6AAAFFBA" w14:textId="77777777" w:rsidR="00DC7093" w:rsidRPr="00831B38" w:rsidRDefault="00DC7093" w:rsidP="0063648C">
            <w:pPr>
              <w:spacing w:after="0" w:line="360" w:lineRule="auto"/>
              <w:jc w:val="right"/>
              <w:rPr>
                <w:rFonts w:ascii="Arial" w:eastAsia="Times New Roman" w:hAnsi="Arial" w:cs="Arial"/>
                <w:sz w:val="20"/>
                <w:szCs w:val="20"/>
                <w:lang w:val="es-CR" w:eastAsia="es-CR"/>
              </w:rPr>
            </w:pPr>
          </w:p>
        </w:tc>
        <w:tc>
          <w:tcPr>
            <w:tcW w:w="1200" w:type="dxa"/>
            <w:tcBorders>
              <w:top w:val="nil"/>
              <w:left w:val="nil"/>
              <w:bottom w:val="nil"/>
              <w:right w:val="nil"/>
            </w:tcBorders>
            <w:shd w:val="clear" w:color="auto" w:fill="auto"/>
            <w:noWrap/>
            <w:vAlign w:val="bottom"/>
            <w:hideMark/>
          </w:tcPr>
          <w:p w14:paraId="3D2175CF" w14:textId="77777777" w:rsidR="00DC7093" w:rsidRPr="00831B38" w:rsidRDefault="00DC7093" w:rsidP="0063648C">
            <w:pPr>
              <w:spacing w:after="0" w:line="360" w:lineRule="auto"/>
              <w:jc w:val="right"/>
              <w:rPr>
                <w:rFonts w:ascii="Arial" w:eastAsia="Times New Roman" w:hAnsi="Arial" w:cs="Arial"/>
                <w:sz w:val="20"/>
                <w:szCs w:val="20"/>
                <w:lang w:val="es-CR" w:eastAsia="es-CR"/>
              </w:rPr>
            </w:pPr>
          </w:p>
        </w:tc>
        <w:tc>
          <w:tcPr>
            <w:tcW w:w="1200" w:type="dxa"/>
            <w:tcBorders>
              <w:top w:val="nil"/>
              <w:left w:val="nil"/>
              <w:bottom w:val="nil"/>
              <w:right w:val="nil"/>
            </w:tcBorders>
            <w:shd w:val="clear" w:color="auto" w:fill="auto"/>
            <w:noWrap/>
            <w:vAlign w:val="bottom"/>
            <w:hideMark/>
          </w:tcPr>
          <w:p w14:paraId="47B16DFA" w14:textId="77777777" w:rsidR="00DC7093" w:rsidRPr="00831B38" w:rsidRDefault="00DC7093" w:rsidP="0063648C">
            <w:pPr>
              <w:spacing w:after="0" w:line="360" w:lineRule="auto"/>
              <w:jc w:val="right"/>
              <w:rPr>
                <w:rFonts w:ascii="Arial" w:eastAsia="Times New Roman" w:hAnsi="Arial" w:cs="Arial"/>
                <w:sz w:val="20"/>
                <w:szCs w:val="20"/>
                <w:lang w:val="es-CR" w:eastAsia="es-CR"/>
              </w:rPr>
            </w:pPr>
          </w:p>
        </w:tc>
      </w:tr>
      <w:tr w:rsidR="00DC7093" w:rsidRPr="00831B38" w14:paraId="6B757A23" w14:textId="77777777" w:rsidTr="000353BD">
        <w:trPr>
          <w:gridAfter w:val="1"/>
          <w:wAfter w:w="33" w:type="dxa"/>
          <w:trHeight w:val="353"/>
        </w:trPr>
        <w:tc>
          <w:tcPr>
            <w:tcW w:w="2800" w:type="dxa"/>
            <w:tcBorders>
              <w:top w:val="single" w:sz="8" w:space="0" w:color="4F81BD"/>
              <w:left w:val="single" w:sz="8" w:space="0" w:color="4F81BD"/>
              <w:bottom w:val="single" w:sz="8" w:space="0" w:color="4F81BD"/>
              <w:right w:val="nil"/>
            </w:tcBorders>
            <w:shd w:val="clear" w:color="auto" w:fill="auto"/>
            <w:noWrap/>
            <w:vAlign w:val="center"/>
            <w:hideMark/>
          </w:tcPr>
          <w:p w14:paraId="0C9F4664" w14:textId="77777777" w:rsidR="00DC7093" w:rsidRPr="00831B38" w:rsidRDefault="00DC7093" w:rsidP="00B0410A">
            <w:pPr>
              <w:spacing w:after="0" w:line="360" w:lineRule="auto"/>
              <w:rPr>
                <w:rFonts w:ascii="Arial" w:eastAsia="Times New Roman" w:hAnsi="Arial" w:cs="Arial"/>
                <w:b/>
                <w:bCs/>
                <w:sz w:val="20"/>
                <w:szCs w:val="20"/>
                <w:lang w:val="es-CR" w:eastAsia="es-CR"/>
              </w:rPr>
            </w:pPr>
            <w:r w:rsidRPr="00831B38">
              <w:rPr>
                <w:rFonts w:ascii="Arial" w:eastAsia="Times New Roman" w:hAnsi="Arial" w:cs="Arial"/>
                <w:b/>
                <w:bCs/>
                <w:sz w:val="20"/>
                <w:szCs w:val="20"/>
                <w:lang w:val="es-CR" w:eastAsia="es-CR"/>
              </w:rPr>
              <w:t>SUBTOTAL</w:t>
            </w:r>
          </w:p>
        </w:tc>
        <w:tc>
          <w:tcPr>
            <w:tcW w:w="2020" w:type="dxa"/>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14:paraId="555C3195" w14:textId="12DFF74B" w:rsidR="00DC7093" w:rsidRPr="00831B38" w:rsidRDefault="00DC7093" w:rsidP="00B0410A">
            <w:pPr>
              <w:spacing w:after="0" w:line="360" w:lineRule="auto"/>
              <w:jc w:val="center"/>
              <w:rPr>
                <w:rFonts w:ascii="Arial" w:eastAsia="Times New Roman" w:hAnsi="Arial" w:cs="Arial"/>
                <w:b/>
                <w:bCs/>
                <w:sz w:val="20"/>
                <w:szCs w:val="20"/>
                <w:lang w:val="es-CR" w:eastAsia="es-CR"/>
              </w:rPr>
            </w:pPr>
            <w:r w:rsidRPr="00831B38">
              <w:rPr>
                <w:rFonts w:ascii="Arial" w:eastAsia="Times New Roman" w:hAnsi="Arial" w:cs="Arial"/>
                <w:b/>
                <w:bCs/>
                <w:sz w:val="20"/>
                <w:szCs w:val="20"/>
                <w:lang w:val="es-CR" w:eastAsia="es-CR"/>
              </w:rPr>
              <w:t>4 285,70</w:t>
            </w:r>
          </w:p>
        </w:tc>
        <w:tc>
          <w:tcPr>
            <w:tcW w:w="1941" w:type="dxa"/>
            <w:tcBorders>
              <w:top w:val="single" w:sz="8" w:space="0" w:color="4F81BD"/>
              <w:left w:val="nil"/>
              <w:bottom w:val="single" w:sz="8" w:space="0" w:color="4F81BD"/>
              <w:right w:val="single" w:sz="8" w:space="0" w:color="4F81BD"/>
            </w:tcBorders>
            <w:shd w:val="clear" w:color="auto" w:fill="auto"/>
            <w:noWrap/>
            <w:vAlign w:val="center"/>
            <w:hideMark/>
          </w:tcPr>
          <w:p w14:paraId="4CE7175E" w14:textId="7615F9B6" w:rsidR="00DC7093" w:rsidRPr="00831B38" w:rsidRDefault="00DC7093" w:rsidP="00B0410A">
            <w:pPr>
              <w:spacing w:after="0" w:line="360" w:lineRule="auto"/>
              <w:jc w:val="center"/>
              <w:rPr>
                <w:rFonts w:ascii="Arial" w:eastAsia="Times New Roman" w:hAnsi="Arial" w:cs="Arial"/>
                <w:b/>
                <w:bCs/>
                <w:sz w:val="20"/>
                <w:szCs w:val="20"/>
                <w:lang w:val="es-CR" w:eastAsia="es-CR"/>
              </w:rPr>
            </w:pPr>
            <w:r w:rsidRPr="00831B38">
              <w:rPr>
                <w:rFonts w:ascii="Arial" w:eastAsia="Times New Roman" w:hAnsi="Arial" w:cs="Arial"/>
                <w:b/>
                <w:bCs/>
                <w:sz w:val="20"/>
                <w:szCs w:val="20"/>
                <w:lang w:val="es-CR" w:eastAsia="es-CR"/>
              </w:rPr>
              <w:t>3 896,94</w:t>
            </w:r>
          </w:p>
        </w:tc>
        <w:tc>
          <w:tcPr>
            <w:tcW w:w="1744" w:type="dxa"/>
            <w:tcBorders>
              <w:top w:val="nil"/>
              <w:left w:val="nil"/>
              <w:bottom w:val="single" w:sz="8" w:space="0" w:color="4F81BD"/>
              <w:right w:val="single" w:sz="8" w:space="0" w:color="4F81BD"/>
            </w:tcBorders>
            <w:shd w:val="clear" w:color="auto" w:fill="auto"/>
            <w:noWrap/>
            <w:vAlign w:val="center"/>
            <w:hideMark/>
          </w:tcPr>
          <w:p w14:paraId="58783CC0" w14:textId="77777777" w:rsidR="00DC7093" w:rsidRPr="00831B38" w:rsidRDefault="00DC7093" w:rsidP="00B0410A">
            <w:pPr>
              <w:spacing w:after="0" w:line="360" w:lineRule="auto"/>
              <w:jc w:val="center"/>
              <w:rPr>
                <w:rFonts w:ascii="Arial" w:eastAsia="Times New Roman" w:hAnsi="Arial" w:cs="Arial"/>
                <w:b/>
                <w:bCs/>
                <w:sz w:val="20"/>
                <w:szCs w:val="20"/>
                <w:lang w:val="es-CR" w:eastAsia="es-CR"/>
              </w:rPr>
            </w:pPr>
            <w:r w:rsidRPr="00831B38">
              <w:rPr>
                <w:rFonts w:ascii="Arial" w:eastAsia="Times New Roman" w:hAnsi="Arial" w:cs="Arial"/>
                <w:b/>
                <w:bCs/>
                <w:sz w:val="20"/>
                <w:szCs w:val="20"/>
                <w:lang w:val="es-CR" w:eastAsia="es-CR"/>
              </w:rPr>
              <w:t>90,93%</w:t>
            </w:r>
          </w:p>
        </w:tc>
        <w:tc>
          <w:tcPr>
            <w:tcW w:w="1200" w:type="dxa"/>
            <w:tcBorders>
              <w:top w:val="nil"/>
              <w:left w:val="nil"/>
              <w:bottom w:val="nil"/>
              <w:right w:val="nil"/>
            </w:tcBorders>
            <w:shd w:val="clear" w:color="auto" w:fill="auto"/>
            <w:noWrap/>
            <w:vAlign w:val="bottom"/>
            <w:hideMark/>
          </w:tcPr>
          <w:p w14:paraId="17BF7628" w14:textId="77777777" w:rsidR="00DC7093" w:rsidRPr="00831B38" w:rsidRDefault="00DC7093" w:rsidP="0063648C">
            <w:pPr>
              <w:spacing w:after="0" w:line="360" w:lineRule="auto"/>
              <w:jc w:val="right"/>
              <w:rPr>
                <w:rFonts w:ascii="Arial" w:eastAsia="Times New Roman" w:hAnsi="Arial" w:cs="Arial"/>
                <w:b/>
                <w:bCs/>
                <w:sz w:val="20"/>
                <w:szCs w:val="20"/>
                <w:lang w:val="es-CR" w:eastAsia="es-CR"/>
              </w:rPr>
            </w:pPr>
          </w:p>
        </w:tc>
        <w:tc>
          <w:tcPr>
            <w:tcW w:w="1200" w:type="dxa"/>
            <w:tcBorders>
              <w:top w:val="nil"/>
              <w:left w:val="nil"/>
              <w:bottom w:val="nil"/>
              <w:right w:val="nil"/>
            </w:tcBorders>
            <w:shd w:val="clear" w:color="auto" w:fill="auto"/>
            <w:noWrap/>
            <w:vAlign w:val="bottom"/>
            <w:hideMark/>
          </w:tcPr>
          <w:p w14:paraId="27249F4B" w14:textId="77777777" w:rsidR="00DC7093" w:rsidRPr="00831B38" w:rsidRDefault="00DC7093" w:rsidP="0063648C">
            <w:pPr>
              <w:spacing w:after="0" w:line="360" w:lineRule="auto"/>
              <w:jc w:val="right"/>
              <w:rPr>
                <w:rFonts w:ascii="Arial" w:eastAsia="Times New Roman" w:hAnsi="Arial" w:cs="Arial"/>
                <w:sz w:val="20"/>
                <w:szCs w:val="20"/>
                <w:lang w:val="es-CR" w:eastAsia="es-CR"/>
              </w:rPr>
            </w:pPr>
          </w:p>
        </w:tc>
        <w:tc>
          <w:tcPr>
            <w:tcW w:w="1200" w:type="dxa"/>
            <w:tcBorders>
              <w:top w:val="nil"/>
              <w:left w:val="nil"/>
              <w:bottom w:val="nil"/>
              <w:right w:val="nil"/>
            </w:tcBorders>
            <w:shd w:val="clear" w:color="auto" w:fill="auto"/>
            <w:noWrap/>
            <w:vAlign w:val="bottom"/>
            <w:hideMark/>
          </w:tcPr>
          <w:p w14:paraId="42FFD404" w14:textId="77777777" w:rsidR="00DC7093" w:rsidRPr="00831B38" w:rsidRDefault="00DC7093" w:rsidP="0063648C">
            <w:pPr>
              <w:spacing w:after="0" w:line="360" w:lineRule="auto"/>
              <w:jc w:val="right"/>
              <w:rPr>
                <w:rFonts w:ascii="Arial" w:eastAsia="Times New Roman" w:hAnsi="Arial" w:cs="Arial"/>
                <w:sz w:val="20"/>
                <w:szCs w:val="20"/>
                <w:lang w:val="es-CR" w:eastAsia="es-CR"/>
              </w:rPr>
            </w:pPr>
          </w:p>
        </w:tc>
      </w:tr>
      <w:tr w:rsidR="00DC7093" w:rsidRPr="00831B38" w14:paraId="4B720EC8" w14:textId="77777777" w:rsidTr="000353BD">
        <w:trPr>
          <w:gridAfter w:val="1"/>
          <w:wAfter w:w="33" w:type="dxa"/>
          <w:trHeight w:val="353"/>
        </w:trPr>
        <w:tc>
          <w:tcPr>
            <w:tcW w:w="2800" w:type="dxa"/>
            <w:tcBorders>
              <w:top w:val="nil"/>
              <w:left w:val="single" w:sz="8" w:space="0" w:color="4F81BD"/>
              <w:bottom w:val="nil"/>
              <w:right w:val="nil"/>
            </w:tcBorders>
            <w:shd w:val="clear" w:color="auto" w:fill="auto"/>
            <w:noWrap/>
            <w:vAlign w:val="center"/>
            <w:hideMark/>
          </w:tcPr>
          <w:p w14:paraId="14DB8502" w14:textId="77777777" w:rsidR="00DC7093" w:rsidRPr="00831B38" w:rsidRDefault="00DC7093" w:rsidP="00B0410A">
            <w:pPr>
              <w:spacing w:after="0" w:line="360" w:lineRule="auto"/>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Remuneraciones</w:t>
            </w:r>
          </w:p>
        </w:tc>
        <w:tc>
          <w:tcPr>
            <w:tcW w:w="2020" w:type="dxa"/>
            <w:tcBorders>
              <w:top w:val="nil"/>
              <w:left w:val="single" w:sz="8" w:space="0" w:color="4F81BD"/>
              <w:bottom w:val="nil"/>
              <w:right w:val="single" w:sz="8" w:space="0" w:color="4F81BD"/>
            </w:tcBorders>
            <w:shd w:val="clear" w:color="auto" w:fill="auto"/>
            <w:noWrap/>
            <w:hideMark/>
          </w:tcPr>
          <w:p w14:paraId="448A4D9B" w14:textId="27AD47B6" w:rsidR="00DC7093" w:rsidRPr="00831B38" w:rsidRDefault="00DC7093" w:rsidP="00B0410A">
            <w:pPr>
              <w:spacing w:after="0" w:line="360" w:lineRule="auto"/>
              <w:jc w:val="center"/>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2 904,49</w:t>
            </w:r>
          </w:p>
        </w:tc>
        <w:tc>
          <w:tcPr>
            <w:tcW w:w="1941" w:type="dxa"/>
            <w:tcBorders>
              <w:top w:val="nil"/>
              <w:left w:val="nil"/>
              <w:bottom w:val="nil"/>
              <w:right w:val="nil"/>
            </w:tcBorders>
            <w:shd w:val="clear" w:color="auto" w:fill="auto"/>
            <w:noWrap/>
            <w:hideMark/>
          </w:tcPr>
          <w:p w14:paraId="08D00FC6" w14:textId="78164A5C" w:rsidR="00DC7093" w:rsidRPr="00831B38" w:rsidRDefault="00DC7093" w:rsidP="00B0410A">
            <w:pPr>
              <w:spacing w:after="0" w:line="360" w:lineRule="auto"/>
              <w:jc w:val="center"/>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2 758,06</w:t>
            </w:r>
          </w:p>
        </w:tc>
        <w:tc>
          <w:tcPr>
            <w:tcW w:w="1744" w:type="dxa"/>
            <w:tcBorders>
              <w:top w:val="nil"/>
              <w:left w:val="single" w:sz="8" w:space="0" w:color="4F81BD"/>
              <w:bottom w:val="single" w:sz="8" w:space="0" w:color="4F81BD"/>
              <w:right w:val="single" w:sz="8" w:space="0" w:color="4F81BD"/>
            </w:tcBorders>
            <w:shd w:val="clear" w:color="auto" w:fill="auto"/>
            <w:noWrap/>
            <w:vAlign w:val="center"/>
            <w:hideMark/>
          </w:tcPr>
          <w:p w14:paraId="30F9D7F4" w14:textId="77777777" w:rsidR="00DC7093" w:rsidRPr="00831B38" w:rsidRDefault="00DC7093" w:rsidP="00B0410A">
            <w:pPr>
              <w:spacing w:after="0" w:line="360" w:lineRule="auto"/>
              <w:jc w:val="center"/>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94,96%</w:t>
            </w:r>
          </w:p>
        </w:tc>
        <w:tc>
          <w:tcPr>
            <w:tcW w:w="1200" w:type="dxa"/>
            <w:tcBorders>
              <w:top w:val="nil"/>
              <w:left w:val="nil"/>
              <w:bottom w:val="nil"/>
              <w:right w:val="nil"/>
            </w:tcBorders>
            <w:shd w:val="clear" w:color="auto" w:fill="auto"/>
            <w:noWrap/>
            <w:vAlign w:val="bottom"/>
            <w:hideMark/>
          </w:tcPr>
          <w:p w14:paraId="7BDE67E1" w14:textId="77777777" w:rsidR="00DC7093" w:rsidRPr="00831B38" w:rsidRDefault="00DC7093" w:rsidP="0063648C">
            <w:pPr>
              <w:spacing w:after="0" w:line="360" w:lineRule="auto"/>
              <w:jc w:val="right"/>
              <w:rPr>
                <w:rFonts w:ascii="Arial" w:eastAsia="Times New Roman" w:hAnsi="Arial" w:cs="Arial"/>
                <w:sz w:val="20"/>
                <w:szCs w:val="20"/>
                <w:lang w:val="es-CR" w:eastAsia="es-CR"/>
              </w:rPr>
            </w:pPr>
          </w:p>
        </w:tc>
        <w:tc>
          <w:tcPr>
            <w:tcW w:w="1200" w:type="dxa"/>
            <w:tcBorders>
              <w:top w:val="nil"/>
              <w:left w:val="nil"/>
              <w:bottom w:val="nil"/>
              <w:right w:val="nil"/>
            </w:tcBorders>
            <w:shd w:val="clear" w:color="auto" w:fill="auto"/>
            <w:noWrap/>
            <w:vAlign w:val="bottom"/>
            <w:hideMark/>
          </w:tcPr>
          <w:p w14:paraId="1E442471" w14:textId="77777777" w:rsidR="00DC7093" w:rsidRPr="00831B38" w:rsidRDefault="00DC7093" w:rsidP="0063648C">
            <w:pPr>
              <w:spacing w:after="0" w:line="360" w:lineRule="auto"/>
              <w:jc w:val="right"/>
              <w:rPr>
                <w:rFonts w:ascii="Arial" w:eastAsia="Times New Roman" w:hAnsi="Arial" w:cs="Arial"/>
                <w:sz w:val="20"/>
                <w:szCs w:val="20"/>
                <w:lang w:val="es-CR" w:eastAsia="es-CR"/>
              </w:rPr>
            </w:pPr>
          </w:p>
        </w:tc>
        <w:tc>
          <w:tcPr>
            <w:tcW w:w="1200" w:type="dxa"/>
            <w:tcBorders>
              <w:top w:val="nil"/>
              <w:left w:val="nil"/>
              <w:bottom w:val="nil"/>
              <w:right w:val="nil"/>
            </w:tcBorders>
            <w:shd w:val="clear" w:color="auto" w:fill="auto"/>
            <w:noWrap/>
            <w:vAlign w:val="bottom"/>
            <w:hideMark/>
          </w:tcPr>
          <w:p w14:paraId="3736C6B6" w14:textId="77777777" w:rsidR="00DC7093" w:rsidRPr="00831B38" w:rsidRDefault="00DC7093" w:rsidP="0063648C">
            <w:pPr>
              <w:spacing w:after="0" w:line="360" w:lineRule="auto"/>
              <w:jc w:val="right"/>
              <w:rPr>
                <w:rFonts w:ascii="Arial" w:eastAsia="Times New Roman" w:hAnsi="Arial" w:cs="Arial"/>
                <w:sz w:val="20"/>
                <w:szCs w:val="20"/>
                <w:lang w:val="es-CR" w:eastAsia="es-CR"/>
              </w:rPr>
            </w:pPr>
          </w:p>
        </w:tc>
      </w:tr>
      <w:tr w:rsidR="00DC7093" w:rsidRPr="00831B38" w14:paraId="2DB7235C" w14:textId="77777777" w:rsidTr="000353BD">
        <w:trPr>
          <w:gridAfter w:val="1"/>
          <w:wAfter w:w="33" w:type="dxa"/>
          <w:trHeight w:val="353"/>
        </w:trPr>
        <w:tc>
          <w:tcPr>
            <w:tcW w:w="2800" w:type="dxa"/>
            <w:tcBorders>
              <w:top w:val="single" w:sz="8" w:space="0" w:color="4F81BD"/>
              <w:left w:val="single" w:sz="8" w:space="0" w:color="4F81BD"/>
              <w:bottom w:val="single" w:sz="8" w:space="0" w:color="4F81BD"/>
              <w:right w:val="nil"/>
            </w:tcBorders>
            <w:shd w:val="clear" w:color="auto" w:fill="auto"/>
            <w:noWrap/>
            <w:vAlign w:val="center"/>
            <w:hideMark/>
          </w:tcPr>
          <w:p w14:paraId="71ADE040" w14:textId="77777777" w:rsidR="00DC7093" w:rsidRPr="00831B38" w:rsidRDefault="00DC7093" w:rsidP="00B0410A">
            <w:pPr>
              <w:spacing w:after="0" w:line="360" w:lineRule="auto"/>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Servicios</w:t>
            </w:r>
          </w:p>
        </w:tc>
        <w:tc>
          <w:tcPr>
            <w:tcW w:w="2020" w:type="dxa"/>
            <w:tcBorders>
              <w:top w:val="single" w:sz="8" w:space="0" w:color="4F81BD"/>
              <w:left w:val="single" w:sz="8" w:space="0" w:color="4F81BD"/>
              <w:bottom w:val="single" w:sz="8" w:space="0" w:color="4F81BD"/>
              <w:right w:val="single" w:sz="8" w:space="0" w:color="4F81BD"/>
            </w:tcBorders>
            <w:shd w:val="clear" w:color="auto" w:fill="auto"/>
            <w:noWrap/>
            <w:hideMark/>
          </w:tcPr>
          <w:p w14:paraId="3680F009" w14:textId="5DDB78B5" w:rsidR="00DC7093" w:rsidRPr="00831B38" w:rsidRDefault="00DC7093" w:rsidP="00B0410A">
            <w:pPr>
              <w:spacing w:after="0" w:line="360" w:lineRule="auto"/>
              <w:jc w:val="center"/>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818,44</w:t>
            </w:r>
          </w:p>
        </w:tc>
        <w:tc>
          <w:tcPr>
            <w:tcW w:w="1941" w:type="dxa"/>
            <w:tcBorders>
              <w:top w:val="single" w:sz="8" w:space="0" w:color="4F81BD"/>
              <w:left w:val="nil"/>
              <w:bottom w:val="single" w:sz="8" w:space="0" w:color="4F81BD"/>
              <w:right w:val="nil"/>
            </w:tcBorders>
            <w:shd w:val="clear" w:color="auto" w:fill="auto"/>
            <w:noWrap/>
            <w:hideMark/>
          </w:tcPr>
          <w:p w14:paraId="0B855B9F" w14:textId="293D5DBF" w:rsidR="00DC7093" w:rsidRPr="00831B38" w:rsidRDefault="00DC7093" w:rsidP="00B0410A">
            <w:pPr>
              <w:spacing w:after="0" w:line="360" w:lineRule="auto"/>
              <w:jc w:val="center"/>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696,45</w:t>
            </w:r>
          </w:p>
        </w:tc>
        <w:tc>
          <w:tcPr>
            <w:tcW w:w="1744" w:type="dxa"/>
            <w:tcBorders>
              <w:top w:val="nil"/>
              <w:left w:val="single" w:sz="8" w:space="0" w:color="4F81BD"/>
              <w:bottom w:val="single" w:sz="8" w:space="0" w:color="4F81BD"/>
              <w:right w:val="single" w:sz="8" w:space="0" w:color="4F81BD"/>
            </w:tcBorders>
            <w:shd w:val="clear" w:color="auto" w:fill="auto"/>
            <w:noWrap/>
            <w:vAlign w:val="center"/>
            <w:hideMark/>
          </w:tcPr>
          <w:p w14:paraId="161887C7" w14:textId="77777777" w:rsidR="00DC7093" w:rsidRPr="00831B38" w:rsidRDefault="00DC7093" w:rsidP="00B0410A">
            <w:pPr>
              <w:spacing w:after="0" w:line="360" w:lineRule="auto"/>
              <w:jc w:val="center"/>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85,09%</w:t>
            </w:r>
          </w:p>
        </w:tc>
        <w:tc>
          <w:tcPr>
            <w:tcW w:w="1200" w:type="dxa"/>
            <w:tcBorders>
              <w:top w:val="nil"/>
              <w:left w:val="nil"/>
              <w:bottom w:val="nil"/>
              <w:right w:val="nil"/>
            </w:tcBorders>
            <w:shd w:val="clear" w:color="auto" w:fill="auto"/>
            <w:noWrap/>
            <w:vAlign w:val="bottom"/>
            <w:hideMark/>
          </w:tcPr>
          <w:p w14:paraId="461DACCB" w14:textId="77777777" w:rsidR="00DC7093" w:rsidRPr="00831B38" w:rsidRDefault="00DC7093" w:rsidP="0063648C">
            <w:pPr>
              <w:spacing w:after="0" w:line="360" w:lineRule="auto"/>
              <w:jc w:val="right"/>
              <w:rPr>
                <w:rFonts w:ascii="Arial" w:eastAsia="Times New Roman" w:hAnsi="Arial" w:cs="Arial"/>
                <w:sz w:val="20"/>
                <w:szCs w:val="20"/>
                <w:lang w:val="es-CR" w:eastAsia="es-CR"/>
              </w:rPr>
            </w:pPr>
          </w:p>
        </w:tc>
        <w:tc>
          <w:tcPr>
            <w:tcW w:w="1200" w:type="dxa"/>
            <w:tcBorders>
              <w:top w:val="nil"/>
              <w:left w:val="nil"/>
              <w:bottom w:val="nil"/>
              <w:right w:val="nil"/>
            </w:tcBorders>
            <w:shd w:val="clear" w:color="auto" w:fill="auto"/>
            <w:noWrap/>
            <w:vAlign w:val="bottom"/>
            <w:hideMark/>
          </w:tcPr>
          <w:p w14:paraId="7B7AB6DE" w14:textId="77777777" w:rsidR="00DC7093" w:rsidRPr="00831B38" w:rsidRDefault="00DC7093" w:rsidP="0063648C">
            <w:pPr>
              <w:spacing w:after="0" w:line="360" w:lineRule="auto"/>
              <w:jc w:val="right"/>
              <w:rPr>
                <w:rFonts w:ascii="Arial" w:eastAsia="Times New Roman" w:hAnsi="Arial" w:cs="Arial"/>
                <w:sz w:val="20"/>
                <w:szCs w:val="20"/>
                <w:lang w:val="es-CR" w:eastAsia="es-CR"/>
              </w:rPr>
            </w:pPr>
          </w:p>
        </w:tc>
        <w:tc>
          <w:tcPr>
            <w:tcW w:w="1200" w:type="dxa"/>
            <w:tcBorders>
              <w:top w:val="nil"/>
              <w:left w:val="nil"/>
              <w:bottom w:val="nil"/>
              <w:right w:val="nil"/>
            </w:tcBorders>
            <w:shd w:val="clear" w:color="auto" w:fill="auto"/>
            <w:noWrap/>
            <w:vAlign w:val="bottom"/>
            <w:hideMark/>
          </w:tcPr>
          <w:p w14:paraId="2DC65BA9" w14:textId="77777777" w:rsidR="00DC7093" w:rsidRPr="00831B38" w:rsidRDefault="00DC7093" w:rsidP="0063648C">
            <w:pPr>
              <w:spacing w:after="0" w:line="360" w:lineRule="auto"/>
              <w:jc w:val="right"/>
              <w:rPr>
                <w:rFonts w:ascii="Arial" w:eastAsia="Times New Roman" w:hAnsi="Arial" w:cs="Arial"/>
                <w:sz w:val="20"/>
                <w:szCs w:val="20"/>
                <w:lang w:val="es-CR" w:eastAsia="es-CR"/>
              </w:rPr>
            </w:pPr>
          </w:p>
        </w:tc>
      </w:tr>
      <w:tr w:rsidR="00DC7093" w:rsidRPr="00831B38" w14:paraId="657C4147" w14:textId="77777777" w:rsidTr="000353BD">
        <w:trPr>
          <w:gridAfter w:val="1"/>
          <w:wAfter w:w="33" w:type="dxa"/>
          <w:trHeight w:val="353"/>
        </w:trPr>
        <w:tc>
          <w:tcPr>
            <w:tcW w:w="2800" w:type="dxa"/>
            <w:tcBorders>
              <w:top w:val="nil"/>
              <w:left w:val="single" w:sz="8" w:space="0" w:color="4F81BD"/>
              <w:bottom w:val="nil"/>
              <w:right w:val="nil"/>
            </w:tcBorders>
            <w:shd w:val="clear" w:color="auto" w:fill="auto"/>
            <w:noWrap/>
            <w:vAlign w:val="center"/>
            <w:hideMark/>
          </w:tcPr>
          <w:p w14:paraId="65D44667" w14:textId="77777777" w:rsidR="00DC7093" w:rsidRPr="00831B38" w:rsidRDefault="00DC7093" w:rsidP="00B0410A">
            <w:pPr>
              <w:spacing w:after="0" w:line="360" w:lineRule="auto"/>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 xml:space="preserve">Materiales </w:t>
            </w:r>
          </w:p>
        </w:tc>
        <w:tc>
          <w:tcPr>
            <w:tcW w:w="2020" w:type="dxa"/>
            <w:tcBorders>
              <w:top w:val="nil"/>
              <w:left w:val="single" w:sz="8" w:space="0" w:color="4F81BD"/>
              <w:bottom w:val="nil"/>
              <w:right w:val="single" w:sz="8" w:space="0" w:color="4F81BD"/>
            </w:tcBorders>
            <w:shd w:val="clear" w:color="auto" w:fill="auto"/>
            <w:noWrap/>
            <w:hideMark/>
          </w:tcPr>
          <w:p w14:paraId="1B9DD049" w14:textId="2E789058" w:rsidR="00DC7093" w:rsidRPr="00831B38" w:rsidRDefault="00DC7093" w:rsidP="00B0410A">
            <w:pPr>
              <w:spacing w:after="0" w:line="360" w:lineRule="auto"/>
              <w:jc w:val="center"/>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13,20</w:t>
            </w:r>
          </w:p>
        </w:tc>
        <w:tc>
          <w:tcPr>
            <w:tcW w:w="1941" w:type="dxa"/>
            <w:tcBorders>
              <w:top w:val="nil"/>
              <w:left w:val="nil"/>
              <w:bottom w:val="nil"/>
              <w:right w:val="nil"/>
            </w:tcBorders>
            <w:shd w:val="clear" w:color="auto" w:fill="auto"/>
            <w:noWrap/>
            <w:hideMark/>
          </w:tcPr>
          <w:p w14:paraId="104C4575" w14:textId="3F12D5D4" w:rsidR="00DC7093" w:rsidRPr="00831B38" w:rsidRDefault="00DC7093" w:rsidP="00B0410A">
            <w:pPr>
              <w:spacing w:after="0" w:line="360" w:lineRule="auto"/>
              <w:jc w:val="center"/>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8,55</w:t>
            </w:r>
          </w:p>
        </w:tc>
        <w:tc>
          <w:tcPr>
            <w:tcW w:w="1744" w:type="dxa"/>
            <w:tcBorders>
              <w:top w:val="nil"/>
              <w:left w:val="single" w:sz="8" w:space="0" w:color="4F81BD"/>
              <w:bottom w:val="single" w:sz="8" w:space="0" w:color="4F81BD"/>
              <w:right w:val="single" w:sz="8" w:space="0" w:color="4F81BD"/>
            </w:tcBorders>
            <w:shd w:val="clear" w:color="auto" w:fill="auto"/>
            <w:noWrap/>
            <w:vAlign w:val="center"/>
            <w:hideMark/>
          </w:tcPr>
          <w:p w14:paraId="5911512D" w14:textId="77777777" w:rsidR="00DC7093" w:rsidRPr="00831B38" w:rsidRDefault="00DC7093" w:rsidP="00B0410A">
            <w:pPr>
              <w:spacing w:after="0" w:line="360" w:lineRule="auto"/>
              <w:jc w:val="center"/>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64,77%</w:t>
            </w:r>
          </w:p>
        </w:tc>
        <w:tc>
          <w:tcPr>
            <w:tcW w:w="1200" w:type="dxa"/>
            <w:tcBorders>
              <w:top w:val="nil"/>
              <w:left w:val="nil"/>
              <w:bottom w:val="nil"/>
              <w:right w:val="nil"/>
            </w:tcBorders>
            <w:shd w:val="clear" w:color="auto" w:fill="auto"/>
            <w:noWrap/>
            <w:vAlign w:val="bottom"/>
            <w:hideMark/>
          </w:tcPr>
          <w:p w14:paraId="0864039E" w14:textId="77777777" w:rsidR="00DC7093" w:rsidRPr="00831B38" w:rsidRDefault="00DC7093" w:rsidP="0063648C">
            <w:pPr>
              <w:spacing w:after="0" w:line="360" w:lineRule="auto"/>
              <w:jc w:val="right"/>
              <w:rPr>
                <w:rFonts w:ascii="Arial" w:eastAsia="Times New Roman" w:hAnsi="Arial" w:cs="Arial"/>
                <w:sz w:val="20"/>
                <w:szCs w:val="20"/>
                <w:lang w:val="es-CR" w:eastAsia="es-CR"/>
              </w:rPr>
            </w:pPr>
          </w:p>
        </w:tc>
        <w:tc>
          <w:tcPr>
            <w:tcW w:w="1200" w:type="dxa"/>
            <w:tcBorders>
              <w:top w:val="nil"/>
              <w:left w:val="nil"/>
              <w:bottom w:val="nil"/>
              <w:right w:val="nil"/>
            </w:tcBorders>
            <w:shd w:val="clear" w:color="auto" w:fill="auto"/>
            <w:noWrap/>
            <w:vAlign w:val="bottom"/>
            <w:hideMark/>
          </w:tcPr>
          <w:p w14:paraId="7FEB76D2" w14:textId="77777777" w:rsidR="00DC7093" w:rsidRPr="00831B38" w:rsidRDefault="00DC7093" w:rsidP="0063648C">
            <w:pPr>
              <w:spacing w:after="0" w:line="360" w:lineRule="auto"/>
              <w:jc w:val="right"/>
              <w:rPr>
                <w:rFonts w:ascii="Arial" w:eastAsia="Times New Roman" w:hAnsi="Arial" w:cs="Arial"/>
                <w:sz w:val="20"/>
                <w:szCs w:val="20"/>
                <w:lang w:val="es-CR" w:eastAsia="es-CR"/>
              </w:rPr>
            </w:pPr>
          </w:p>
        </w:tc>
        <w:tc>
          <w:tcPr>
            <w:tcW w:w="1200" w:type="dxa"/>
            <w:tcBorders>
              <w:top w:val="nil"/>
              <w:left w:val="nil"/>
              <w:bottom w:val="nil"/>
              <w:right w:val="nil"/>
            </w:tcBorders>
            <w:shd w:val="clear" w:color="auto" w:fill="auto"/>
            <w:noWrap/>
            <w:vAlign w:val="bottom"/>
            <w:hideMark/>
          </w:tcPr>
          <w:p w14:paraId="073A5FDC" w14:textId="77777777" w:rsidR="00DC7093" w:rsidRPr="00831B38" w:rsidRDefault="00DC7093" w:rsidP="0063648C">
            <w:pPr>
              <w:spacing w:after="0" w:line="360" w:lineRule="auto"/>
              <w:jc w:val="right"/>
              <w:rPr>
                <w:rFonts w:ascii="Arial" w:eastAsia="Times New Roman" w:hAnsi="Arial" w:cs="Arial"/>
                <w:sz w:val="20"/>
                <w:szCs w:val="20"/>
                <w:lang w:val="es-CR" w:eastAsia="es-CR"/>
              </w:rPr>
            </w:pPr>
          </w:p>
        </w:tc>
      </w:tr>
      <w:tr w:rsidR="00B22054" w:rsidRPr="00831B38" w14:paraId="47987A88" w14:textId="77777777" w:rsidTr="000353BD">
        <w:trPr>
          <w:gridAfter w:val="1"/>
          <w:wAfter w:w="33" w:type="dxa"/>
          <w:trHeight w:val="353"/>
        </w:trPr>
        <w:tc>
          <w:tcPr>
            <w:tcW w:w="2800" w:type="dxa"/>
            <w:tcBorders>
              <w:top w:val="single" w:sz="8" w:space="0" w:color="4F81BD"/>
              <w:left w:val="single" w:sz="8" w:space="0" w:color="4F81BD"/>
              <w:bottom w:val="single" w:sz="8" w:space="0" w:color="4F81BD"/>
              <w:right w:val="nil"/>
            </w:tcBorders>
            <w:shd w:val="clear" w:color="auto" w:fill="auto"/>
            <w:noWrap/>
            <w:vAlign w:val="center"/>
            <w:hideMark/>
          </w:tcPr>
          <w:p w14:paraId="6AE13022" w14:textId="77777777" w:rsidR="00B22054" w:rsidRPr="00831B38" w:rsidRDefault="00B22054" w:rsidP="00B0410A">
            <w:pPr>
              <w:spacing w:after="0" w:line="360" w:lineRule="auto"/>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Intereses</w:t>
            </w:r>
          </w:p>
        </w:tc>
        <w:tc>
          <w:tcPr>
            <w:tcW w:w="2020" w:type="dxa"/>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14:paraId="5C008568" w14:textId="33C72872" w:rsidR="00B22054" w:rsidRPr="00831B38" w:rsidRDefault="00B22054" w:rsidP="00B0410A">
            <w:pPr>
              <w:spacing w:after="0" w:line="360" w:lineRule="auto"/>
              <w:jc w:val="center"/>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w:t>
            </w:r>
          </w:p>
        </w:tc>
        <w:tc>
          <w:tcPr>
            <w:tcW w:w="1941" w:type="dxa"/>
            <w:tcBorders>
              <w:top w:val="single" w:sz="8" w:space="0" w:color="4F81BD"/>
              <w:left w:val="nil"/>
              <w:bottom w:val="single" w:sz="8" w:space="0" w:color="4F81BD"/>
              <w:right w:val="nil"/>
            </w:tcBorders>
            <w:shd w:val="clear" w:color="auto" w:fill="auto"/>
            <w:noWrap/>
            <w:vAlign w:val="center"/>
            <w:hideMark/>
          </w:tcPr>
          <w:p w14:paraId="1B0AC6C4" w14:textId="6C965E75" w:rsidR="00B22054" w:rsidRPr="00831B38" w:rsidRDefault="00B22054" w:rsidP="00B0410A">
            <w:pPr>
              <w:spacing w:after="0" w:line="360" w:lineRule="auto"/>
              <w:jc w:val="center"/>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w:t>
            </w:r>
          </w:p>
        </w:tc>
        <w:tc>
          <w:tcPr>
            <w:tcW w:w="1744" w:type="dxa"/>
            <w:tcBorders>
              <w:top w:val="nil"/>
              <w:left w:val="single" w:sz="8" w:space="0" w:color="4F81BD"/>
              <w:bottom w:val="single" w:sz="8" w:space="0" w:color="4F81BD"/>
              <w:right w:val="single" w:sz="8" w:space="0" w:color="4F81BD"/>
            </w:tcBorders>
            <w:shd w:val="clear" w:color="auto" w:fill="auto"/>
            <w:noWrap/>
            <w:vAlign w:val="center"/>
            <w:hideMark/>
          </w:tcPr>
          <w:p w14:paraId="07781AD5" w14:textId="6375380D" w:rsidR="00B22054" w:rsidRPr="00831B38" w:rsidRDefault="00B22054" w:rsidP="00B0410A">
            <w:pPr>
              <w:spacing w:after="0" w:line="360" w:lineRule="auto"/>
              <w:jc w:val="center"/>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w:t>
            </w:r>
          </w:p>
        </w:tc>
        <w:tc>
          <w:tcPr>
            <w:tcW w:w="1200" w:type="dxa"/>
            <w:tcBorders>
              <w:top w:val="nil"/>
              <w:left w:val="nil"/>
              <w:bottom w:val="nil"/>
              <w:right w:val="nil"/>
            </w:tcBorders>
            <w:shd w:val="clear" w:color="auto" w:fill="auto"/>
            <w:noWrap/>
            <w:vAlign w:val="bottom"/>
            <w:hideMark/>
          </w:tcPr>
          <w:p w14:paraId="25AA17C0" w14:textId="77777777" w:rsidR="00B22054" w:rsidRPr="00831B38" w:rsidRDefault="00B22054" w:rsidP="0063648C">
            <w:pPr>
              <w:spacing w:after="0" w:line="360" w:lineRule="auto"/>
              <w:jc w:val="right"/>
              <w:rPr>
                <w:rFonts w:ascii="Arial" w:eastAsia="Times New Roman" w:hAnsi="Arial" w:cs="Arial"/>
                <w:sz w:val="20"/>
                <w:szCs w:val="20"/>
                <w:lang w:val="es-CR" w:eastAsia="es-CR"/>
              </w:rPr>
            </w:pPr>
          </w:p>
        </w:tc>
        <w:tc>
          <w:tcPr>
            <w:tcW w:w="1200" w:type="dxa"/>
            <w:tcBorders>
              <w:top w:val="nil"/>
              <w:left w:val="nil"/>
              <w:bottom w:val="nil"/>
              <w:right w:val="nil"/>
            </w:tcBorders>
            <w:shd w:val="clear" w:color="auto" w:fill="auto"/>
            <w:noWrap/>
            <w:vAlign w:val="bottom"/>
            <w:hideMark/>
          </w:tcPr>
          <w:p w14:paraId="095DE756" w14:textId="77777777" w:rsidR="00B22054" w:rsidRPr="00831B38" w:rsidRDefault="00B22054" w:rsidP="0063648C">
            <w:pPr>
              <w:spacing w:after="0" w:line="360" w:lineRule="auto"/>
              <w:jc w:val="right"/>
              <w:rPr>
                <w:rFonts w:ascii="Arial" w:eastAsia="Times New Roman" w:hAnsi="Arial" w:cs="Arial"/>
                <w:sz w:val="20"/>
                <w:szCs w:val="20"/>
                <w:lang w:val="es-CR" w:eastAsia="es-CR"/>
              </w:rPr>
            </w:pPr>
          </w:p>
        </w:tc>
        <w:tc>
          <w:tcPr>
            <w:tcW w:w="1200" w:type="dxa"/>
            <w:tcBorders>
              <w:top w:val="nil"/>
              <w:left w:val="nil"/>
              <w:bottom w:val="nil"/>
              <w:right w:val="nil"/>
            </w:tcBorders>
            <w:shd w:val="clear" w:color="auto" w:fill="auto"/>
            <w:noWrap/>
            <w:vAlign w:val="bottom"/>
            <w:hideMark/>
          </w:tcPr>
          <w:p w14:paraId="728085C3" w14:textId="77777777" w:rsidR="00B22054" w:rsidRPr="00831B38" w:rsidRDefault="00B22054" w:rsidP="0063648C">
            <w:pPr>
              <w:spacing w:after="0" w:line="360" w:lineRule="auto"/>
              <w:jc w:val="right"/>
              <w:rPr>
                <w:rFonts w:ascii="Arial" w:eastAsia="Times New Roman" w:hAnsi="Arial" w:cs="Arial"/>
                <w:sz w:val="20"/>
                <w:szCs w:val="20"/>
                <w:lang w:val="es-CR" w:eastAsia="es-CR"/>
              </w:rPr>
            </w:pPr>
          </w:p>
        </w:tc>
      </w:tr>
      <w:tr w:rsidR="00B22054" w:rsidRPr="00831B38" w14:paraId="49280D31" w14:textId="77777777" w:rsidTr="000353BD">
        <w:trPr>
          <w:gridAfter w:val="1"/>
          <w:wAfter w:w="33" w:type="dxa"/>
          <w:trHeight w:val="353"/>
        </w:trPr>
        <w:tc>
          <w:tcPr>
            <w:tcW w:w="2800" w:type="dxa"/>
            <w:tcBorders>
              <w:top w:val="nil"/>
              <w:left w:val="single" w:sz="8" w:space="0" w:color="4F81BD"/>
              <w:bottom w:val="nil"/>
              <w:right w:val="nil"/>
            </w:tcBorders>
            <w:shd w:val="clear" w:color="auto" w:fill="auto"/>
            <w:noWrap/>
            <w:vAlign w:val="center"/>
            <w:hideMark/>
          </w:tcPr>
          <w:p w14:paraId="3FA19470" w14:textId="77777777" w:rsidR="00B22054" w:rsidRPr="00831B38" w:rsidRDefault="00B22054" w:rsidP="00B0410A">
            <w:pPr>
              <w:spacing w:after="0" w:line="360" w:lineRule="auto"/>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Activos financieros</w:t>
            </w:r>
          </w:p>
        </w:tc>
        <w:tc>
          <w:tcPr>
            <w:tcW w:w="2020" w:type="dxa"/>
            <w:tcBorders>
              <w:top w:val="nil"/>
              <w:left w:val="single" w:sz="8" w:space="0" w:color="4F81BD"/>
              <w:bottom w:val="nil"/>
              <w:right w:val="single" w:sz="8" w:space="0" w:color="4F81BD"/>
            </w:tcBorders>
            <w:shd w:val="clear" w:color="auto" w:fill="auto"/>
            <w:noWrap/>
            <w:vAlign w:val="center"/>
            <w:hideMark/>
          </w:tcPr>
          <w:p w14:paraId="34C86F25" w14:textId="2240B2B8" w:rsidR="00B22054" w:rsidRPr="00831B38" w:rsidRDefault="00B22054" w:rsidP="00B0410A">
            <w:pPr>
              <w:spacing w:after="0" w:line="360" w:lineRule="auto"/>
              <w:jc w:val="center"/>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w:t>
            </w:r>
          </w:p>
        </w:tc>
        <w:tc>
          <w:tcPr>
            <w:tcW w:w="1941" w:type="dxa"/>
            <w:tcBorders>
              <w:top w:val="nil"/>
              <w:left w:val="nil"/>
              <w:bottom w:val="nil"/>
              <w:right w:val="nil"/>
            </w:tcBorders>
            <w:shd w:val="clear" w:color="auto" w:fill="auto"/>
            <w:noWrap/>
            <w:vAlign w:val="center"/>
            <w:hideMark/>
          </w:tcPr>
          <w:p w14:paraId="085CABD9" w14:textId="6931CD03" w:rsidR="00B22054" w:rsidRPr="00831B38" w:rsidRDefault="00B22054" w:rsidP="00B0410A">
            <w:pPr>
              <w:spacing w:after="0" w:line="360" w:lineRule="auto"/>
              <w:jc w:val="center"/>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w:t>
            </w:r>
          </w:p>
        </w:tc>
        <w:tc>
          <w:tcPr>
            <w:tcW w:w="1744" w:type="dxa"/>
            <w:tcBorders>
              <w:top w:val="nil"/>
              <w:left w:val="single" w:sz="8" w:space="0" w:color="4F81BD"/>
              <w:bottom w:val="single" w:sz="8" w:space="0" w:color="4F81BD"/>
              <w:right w:val="single" w:sz="8" w:space="0" w:color="4F81BD"/>
            </w:tcBorders>
            <w:shd w:val="clear" w:color="auto" w:fill="auto"/>
            <w:noWrap/>
            <w:vAlign w:val="center"/>
            <w:hideMark/>
          </w:tcPr>
          <w:p w14:paraId="6639494B" w14:textId="39583AC5" w:rsidR="00B22054" w:rsidRPr="00831B38" w:rsidRDefault="00B22054" w:rsidP="00B0410A">
            <w:pPr>
              <w:spacing w:after="0" w:line="360" w:lineRule="auto"/>
              <w:jc w:val="center"/>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w:t>
            </w:r>
          </w:p>
        </w:tc>
        <w:tc>
          <w:tcPr>
            <w:tcW w:w="1200" w:type="dxa"/>
            <w:tcBorders>
              <w:top w:val="nil"/>
              <w:left w:val="nil"/>
              <w:bottom w:val="nil"/>
              <w:right w:val="nil"/>
            </w:tcBorders>
            <w:shd w:val="clear" w:color="auto" w:fill="auto"/>
            <w:noWrap/>
            <w:vAlign w:val="bottom"/>
            <w:hideMark/>
          </w:tcPr>
          <w:p w14:paraId="3EBDBB8E" w14:textId="77777777" w:rsidR="00B22054" w:rsidRPr="00831B38" w:rsidRDefault="00B22054" w:rsidP="0063648C">
            <w:pPr>
              <w:spacing w:after="0" w:line="360" w:lineRule="auto"/>
              <w:jc w:val="right"/>
              <w:rPr>
                <w:rFonts w:ascii="Arial" w:eastAsia="Times New Roman" w:hAnsi="Arial" w:cs="Arial"/>
                <w:sz w:val="20"/>
                <w:szCs w:val="20"/>
                <w:lang w:val="es-CR" w:eastAsia="es-CR"/>
              </w:rPr>
            </w:pPr>
          </w:p>
        </w:tc>
        <w:tc>
          <w:tcPr>
            <w:tcW w:w="1200" w:type="dxa"/>
            <w:tcBorders>
              <w:top w:val="nil"/>
              <w:left w:val="nil"/>
              <w:bottom w:val="nil"/>
              <w:right w:val="nil"/>
            </w:tcBorders>
            <w:shd w:val="clear" w:color="auto" w:fill="auto"/>
            <w:noWrap/>
            <w:vAlign w:val="bottom"/>
            <w:hideMark/>
          </w:tcPr>
          <w:p w14:paraId="0FD1135A" w14:textId="77777777" w:rsidR="00B22054" w:rsidRPr="00831B38" w:rsidRDefault="00B22054" w:rsidP="0063648C">
            <w:pPr>
              <w:spacing w:after="0" w:line="360" w:lineRule="auto"/>
              <w:jc w:val="right"/>
              <w:rPr>
                <w:rFonts w:ascii="Arial" w:eastAsia="Times New Roman" w:hAnsi="Arial" w:cs="Arial"/>
                <w:sz w:val="20"/>
                <w:szCs w:val="20"/>
                <w:lang w:val="es-CR" w:eastAsia="es-CR"/>
              </w:rPr>
            </w:pPr>
          </w:p>
        </w:tc>
        <w:tc>
          <w:tcPr>
            <w:tcW w:w="1200" w:type="dxa"/>
            <w:tcBorders>
              <w:top w:val="nil"/>
              <w:left w:val="nil"/>
              <w:bottom w:val="nil"/>
              <w:right w:val="nil"/>
            </w:tcBorders>
            <w:shd w:val="clear" w:color="auto" w:fill="auto"/>
            <w:noWrap/>
            <w:vAlign w:val="bottom"/>
            <w:hideMark/>
          </w:tcPr>
          <w:p w14:paraId="62E01239" w14:textId="77777777" w:rsidR="00B22054" w:rsidRPr="00831B38" w:rsidRDefault="00B22054" w:rsidP="0063648C">
            <w:pPr>
              <w:spacing w:after="0" w:line="360" w:lineRule="auto"/>
              <w:jc w:val="right"/>
              <w:rPr>
                <w:rFonts w:ascii="Arial" w:eastAsia="Times New Roman" w:hAnsi="Arial" w:cs="Arial"/>
                <w:sz w:val="20"/>
                <w:szCs w:val="20"/>
                <w:lang w:val="es-CR" w:eastAsia="es-CR"/>
              </w:rPr>
            </w:pPr>
          </w:p>
        </w:tc>
      </w:tr>
      <w:tr w:rsidR="00DC7093" w:rsidRPr="00831B38" w14:paraId="70850DC8" w14:textId="77777777" w:rsidTr="000353BD">
        <w:trPr>
          <w:gridAfter w:val="1"/>
          <w:wAfter w:w="33" w:type="dxa"/>
          <w:trHeight w:val="353"/>
        </w:trPr>
        <w:tc>
          <w:tcPr>
            <w:tcW w:w="2800" w:type="dxa"/>
            <w:tcBorders>
              <w:top w:val="single" w:sz="8" w:space="0" w:color="4F81BD"/>
              <w:left w:val="single" w:sz="8" w:space="0" w:color="4F81BD"/>
              <w:bottom w:val="single" w:sz="8" w:space="0" w:color="4F81BD"/>
              <w:right w:val="nil"/>
            </w:tcBorders>
            <w:shd w:val="clear" w:color="auto" w:fill="auto"/>
            <w:noWrap/>
            <w:vAlign w:val="center"/>
            <w:hideMark/>
          </w:tcPr>
          <w:p w14:paraId="208EEDA4" w14:textId="77777777" w:rsidR="00DC7093" w:rsidRPr="00831B38" w:rsidRDefault="00DC7093" w:rsidP="00B0410A">
            <w:pPr>
              <w:spacing w:after="0" w:line="360" w:lineRule="auto"/>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Bienes duraderos</w:t>
            </w:r>
          </w:p>
        </w:tc>
        <w:tc>
          <w:tcPr>
            <w:tcW w:w="2020" w:type="dxa"/>
            <w:tcBorders>
              <w:top w:val="single" w:sz="8" w:space="0" w:color="4F81BD"/>
              <w:left w:val="single" w:sz="8" w:space="0" w:color="4F81BD"/>
              <w:bottom w:val="single" w:sz="8" w:space="0" w:color="4F81BD"/>
              <w:right w:val="single" w:sz="8" w:space="0" w:color="4F81BD"/>
            </w:tcBorders>
            <w:shd w:val="clear" w:color="auto" w:fill="auto"/>
            <w:noWrap/>
            <w:hideMark/>
          </w:tcPr>
          <w:p w14:paraId="263F6214" w14:textId="735F9507" w:rsidR="00DC7093" w:rsidRPr="00831B38" w:rsidRDefault="00DC7093" w:rsidP="00B0410A">
            <w:pPr>
              <w:spacing w:after="0" w:line="360" w:lineRule="auto"/>
              <w:jc w:val="center"/>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60,88</w:t>
            </w:r>
          </w:p>
        </w:tc>
        <w:tc>
          <w:tcPr>
            <w:tcW w:w="1941" w:type="dxa"/>
            <w:tcBorders>
              <w:top w:val="single" w:sz="8" w:space="0" w:color="4F81BD"/>
              <w:left w:val="nil"/>
              <w:bottom w:val="single" w:sz="8" w:space="0" w:color="4F81BD"/>
              <w:right w:val="nil"/>
            </w:tcBorders>
            <w:shd w:val="clear" w:color="auto" w:fill="auto"/>
            <w:noWrap/>
            <w:hideMark/>
          </w:tcPr>
          <w:p w14:paraId="68A26744" w14:textId="5560FDFF" w:rsidR="00DC7093" w:rsidRPr="00831B38" w:rsidRDefault="00DC7093" w:rsidP="00B0410A">
            <w:pPr>
              <w:spacing w:after="0" w:line="360" w:lineRule="auto"/>
              <w:jc w:val="center"/>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7,59</w:t>
            </w:r>
          </w:p>
        </w:tc>
        <w:tc>
          <w:tcPr>
            <w:tcW w:w="1744" w:type="dxa"/>
            <w:tcBorders>
              <w:top w:val="nil"/>
              <w:left w:val="single" w:sz="8" w:space="0" w:color="4F81BD"/>
              <w:bottom w:val="single" w:sz="8" w:space="0" w:color="4F81BD"/>
              <w:right w:val="single" w:sz="8" w:space="0" w:color="4F81BD"/>
            </w:tcBorders>
            <w:shd w:val="clear" w:color="auto" w:fill="auto"/>
            <w:noWrap/>
            <w:vAlign w:val="center"/>
            <w:hideMark/>
          </w:tcPr>
          <w:p w14:paraId="396078EA" w14:textId="77777777" w:rsidR="00DC7093" w:rsidRPr="00831B38" w:rsidRDefault="00DC7093" w:rsidP="00B0410A">
            <w:pPr>
              <w:spacing w:after="0" w:line="360" w:lineRule="auto"/>
              <w:jc w:val="center"/>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12,47%</w:t>
            </w:r>
          </w:p>
        </w:tc>
        <w:tc>
          <w:tcPr>
            <w:tcW w:w="1200" w:type="dxa"/>
            <w:tcBorders>
              <w:top w:val="nil"/>
              <w:left w:val="nil"/>
              <w:bottom w:val="nil"/>
              <w:right w:val="nil"/>
            </w:tcBorders>
            <w:shd w:val="clear" w:color="auto" w:fill="auto"/>
            <w:noWrap/>
            <w:vAlign w:val="bottom"/>
            <w:hideMark/>
          </w:tcPr>
          <w:p w14:paraId="450B8159" w14:textId="77777777" w:rsidR="00DC7093" w:rsidRPr="00831B38" w:rsidRDefault="00DC7093" w:rsidP="0063648C">
            <w:pPr>
              <w:spacing w:after="0" w:line="360" w:lineRule="auto"/>
              <w:jc w:val="right"/>
              <w:rPr>
                <w:rFonts w:ascii="Arial" w:eastAsia="Times New Roman" w:hAnsi="Arial" w:cs="Arial"/>
                <w:sz w:val="20"/>
                <w:szCs w:val="20"/>
                <w:lang w:val="es-CR" w:eastAsia="es-CR"/>
              </w:rPr>
            </w:pPr>
          </w:p>
        </w:tc>
        <w:tc>
          <w:tcPr>
            <w:tcW w:w="1200" w:type="dxa"/>
            <w:tcBorders>
              <w:top w:val="nil"/>
              <w:left w:val="nil"/>
              <w:bottom w:val="nil"/>
              <w:right w:val="nil"/>
            </w:tcBorders>
            <w:shd w:val="clear" w:color="auto" w:fill="auto"/>
            <w:noWrap/>
            <w:vAlign w:val="bottom"/>
            <w:hideMark/>
          </w:tcPr>
          <w:p w14:paraId="656E1317" w14:textId="77777777" w:rsidR="00DC7093" w:rsidRPr="00831B38" w:rsidRDefault="00DC7093" w:rsidP="0063648C">
            <w:pPr>
              <w:spacing w:after="0" w:line="360" w:lineRule="auto"/>
              <w:jc w:val="right"/>
              <w:rPr>
                <w:rFonts w:ascii="Arial" w:eastAsia="Times New Roman" w:hAnsi="Arial" w:cs="Arial"/>
                <w:sz w:val="20"/>
                <w:szCs w:val="20"/>
                <w:lang w:val="es-CR" w:eastAsia="es-CR"/>
              </w:rPr>
            </w:pPr>
          </w:p>
        </w:tc>
        <w:tc>
          <w:tcPr>
            <w:tcW w:w="1200" w:type="dxa"/>
            <w:tcBorders>
              <w:top w:val="nil"/>
              <w:left w:val="nil"/>
              <w:bottom w:val="nil"/>
              <w:right w:val="nil"/>
            </w:tcBorders>
            <w:shd w:val="clear" w:color="auto" w:fill="auto"/>
            <w:noWrap/>
            <w:vAlign w:val="bottom"/>
            <w:hideMark/>
          </w:tcPr>
          <w:p w14:paraId="4ADF3870" w14:textId="77777777" w:rsidR="00DC7093" w:rsidRPr="00831B38" w:rsidRDefault="00DC7093" w:rsidP="0063648C">
            <w:pPr>
              <w:spacing w:after="0" w:line="360" w:lineRule="auto"/>
              <w:jc w:val="right"/>
              <w:rPr>
                <w:rFonts w:ascii="Arial" w:eastAsia="Times New Roman" w:hAnsi="Arial" w:cs="Arial"/>
                <w:sz w:val="20"/>
                <w:szCs w:val="20"/>
                <w:lang w:val="es-CR" w:eastAsia="es-CR"/>
              </w:rPr>
            </w:pPr>
          </w:p>
        </w:tc>
      </w:tr>
      <w:tr w:rsidR="00DC7093" w:rsidRPr="00831B38" w14:paraId="47578D65" w14:textId="77777777" w:rsidTr="000353BD">
        <w:trPr>
          <w:gridAfter w:val="1"/>
          <w:wAfter w:w="33" w:type="dxa"/>
          <w:trHeight w:val="353"/>
        </w:trPr>
        <w:tc>
          <w:tcPr>
            <w:tcW w:w="2800" w:type="dxa"/>
            <w:tcBorders>
              <w:top w:val="nil"/>
              <w:left w:val="single" w:sz="8" w:space="0" w:color="4F81BD"/>
              <w:bottom w:val="nil"/>
              <w:right w:val="nil"/>
            </w:tcBorders>
            <w:shd w:val="clear" w:color="auto" w:fill="auto"/>
            <w:noWrap/>
            <w:vAlign w:val="center"/>
            <w:hideMark/>
          </w:tcPr>
          <w:p w14:paraId="3B6E9D7B" w14:textId="77777777" w:rsidR="00DC7093" w:rsidRPr="00831B38" w:rsidRDefault="00DC7093" w:rsidP="00B0410A">
            <w:pPr>
              <w:spacing w:after="0" w:line="360" w:lineRule="auto"/>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Transferencias corrientes</w:t>
            </w:r>
          </w:p>
        </w:tc>
        <w:tc>
          <w:tcPr>
            <w:tcW w:w="2020" w:type="dxa"/>
            <w:tcBorders>
              <w:top w:val="nil"/>
              <w:left w:val="single" w:sz="8" w:space="0" w:color="4F81BD"/>
              <w:bottom w:val="nil"/>
              <w:right w:val="single" w:sz="8" w:space="0" w:color="4F81BD"/>
            </w:tcBorders>
            <w:shd w:val="clear" w:color="auto" w:fill="auto"/>
            <w:noWrap/>
            <w:hideMark/>
          </w:tcPr>
          <w:p w14:paraId="1D9C39D9" w14:textId="76C23D16" w:rsidR="00DC7093" w:rsidRPr="00831B38" w:rsidRDefault="00DC7093" w:rsidP="00B0410A">
            <w:pPr>
              <w:spacing w:after="0" w:line="360" w:lineRule="auto"/>
              <w:jc w:val="center"/>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488,69</w:t>
            </w:r>
          </w:p>
        </w:tc>
        <w:tc>
          <w:tcPr>
            <w:tcW w:w="1941" w:type="dxa"/>
            <w:tcBorders>
              <w:top w:val="nil"/>
              <w:left w:val="nil"/>
              <w:bottom w:val="nil"/>
              <w:right w:val="nil"/>
            </w:tcBorders>
            <w:shd w:val="clear" w:color="auto" w:fill="auto"/>
            <w:noWrap/>
            <w:hideMark/>
          </w:tcPr>
          <w:p w14:paraId="0D63FC39" w14:textId="021544E3" w:rsidR="00DC7093" w:rsidRPr="00831B38" w:rsidRDefault="00DC7093" w:rsidP="00B0410A">
            <w:pPr>
              <w:spacing w:after="0" w:line="360" w:lineRule="auto"/>
              <w:jc w:val="center"/>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426,28</w:t>
            </w:r>
          </w:p>
        </w:tc>
        <w:tc>
          <w:tcPr>
            <w:tcW w:w="1744" w:type="dxa"/>
            <w:tcBorders>
              <w:top w:val="nil"/>
              <w:left w:val="single" w:sz="8" w:space="0" w:color="4F81BD"/>
              <w:bottom w:val="single" w:sz="8" w:space="0" w:color="4F81BD"/>
              <w:right w:val="single" w:sz="8" w:space="0" w:color="4F81BD"/>
            </w:tcBorders>
            <w:shd w:val="clear" w:color="auto" w:fill="auto"/>
            <w:noWrap/>
            <w:vAlign w:val="center"/>
            <w:hideMark/>
          </w:tcPr>
          <w:p w14:paraId="4FCFC7A2" w14:textId="77777777" w:rsidR="00DC7093" w:rsidRPr="00831B38" w:rsidRDefault="00DC7093" w:rsidP="00B0410A">
            <w:pPr>
              <w:spacing w:after="0" w:line="360" w:lineRule="auto"/>
              <w:jc w:val="center"/>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87,23%</w:t>
            </w:r>
          </w:p>
        </w:tc>
        <w:tc>
          <w:tcPr>
            <w:tcW w:w="1200" w:type="dxa"/>
            <w:tcBorders>
              <w:top w:val="nil"/>
              <w:left w:val="nil"/>
              <w:bottom w:val="nil"/>
              <w:right w:val="nil"/>
            </w:tcBorders>
            <w:shd w:val="clear" w:color="auto" w:fill="auto"/>
            <w:noWrap/>
            <w:vAlign w:val="bottom"/>
            <w:hideMark/>
          </w:tcPr>
          <w:p w14:paraId="712A8324" w14:textId="77777777" w:rsidR="00DC7093" w:rsidRPr="00831B38" w:rsidRDefault="00DC7093" w:rsidP="0063648C">
            <w:pPr>
              <w:spacing w:after="0" w:line="360" w:lineRule="auto"/>
              <w:jc w:val="right"/>
              <w:rPr>
                <w:rFonts w:ascii="Arial" w:eastAsia="Times New Roman" w:hAnsi="Arial" w:cs="Arial"/>
                <w:sz w:val="20"/>
                <w:szCs w:val="20"/>
                <w:lang w:val="es-CR" w:eastAsia="es-CR"/>
              </w:rPr>
            </w:pPr>
          </w:p>
        </w:tc>
        <w:tc>
          <w:tcPr>
            <w:tcW w:w="1200" w:type="dxa"/>
            <w:tcBorders>
              <w:top w:val="nil"/>
              <w:left w:val="nil"/>
              <w:bottom w:val="nil"/>
              <w:right w:val="nil"/>
            </w:tcBorders>
            <w:shd w:val="clear" w:color="auto" w:fill="auto"/>
            <w:noWrap/>
            <w:vAlign w:val="bottom"/>
            <w:hideMark/>
          </w:tcPr>
          <w:p w14:paraId="06F5EE7F" w14:textId="77777777" w:rsidR="00DC7093" w:rsidRPr="00831B38" w:rsidRDefault="00DC7093" w:rsidP="0063648C">
            <w:pPr>
              <w:spacing w:after="0" w:line="360" w:lineRule="auto"/>
              <w:jc w:val="right"/>
              <w:rPr>
                <w:rFonts w:ascii="Arial" w:eastAsia="Times New Roman" w:hAnsi="Arial" w:cs="Arial"/>
                <w:sz w:val="20"/>
                <w:szCs w:val="20"/>
                <w:lang w:val="es-CR" w:eastAsia="es-CR"/>
              </w:rPr>
            </w:pPr>
          </w:p>
        </w:tc>
        <w:tc>
          <w:tcPr>
            <w:tcW w:w="1200" w:type="dxa"/>
            <w:tcBorders>
              <w:top w:val="nil"/>
              <w:left w:val="nil"/>
              <w:bottom w:val="nil"/>
              <w:right w:val="nil"/>
            </w:tcBorders>
            <w:shd w:val="clear" w:color="auto" w:fill="auto"/>
            <w:noWrap/>
            <w:vAlign w:val="bottom"/>
            <w:hideMark/>
          </w:tcPr>
          <w:p w14:paraId="23CB3FB3" w14:textId="77777777" w:rsidR="00DC7093" w:rsidRPr="00831B38" w:rsidRDefault="00DC7093" w:rsidP="0063648C">
            <w:pPr>
              <w:spacing w:after="0" w:line="360" w:lineRule="auto"/>
              <w:jc w:val="right"/>
              <w:rPr>
                <w:rFonts w:ascii="Arial" w:eastAsia="Times New Roman" w:hAnsi="Arial" w:cs="Arial"/>
                <w:sz w:val="20"/>
                <w:szCs w:val="20"/>
                <w:lang w:val="es-CR" w:eastAsia="es-CR"/>
              </w:rPr>
            </w:pPr>
          </w:p>
        </w:tc>
      </w:tr>
      <w:tr w:rsidR="00B22054" w:rsidRPr="00831B38" w14:paraId="52E19B03" w14:textId="77777777" w:rsidTr="000353BD">
        <w:trPr>
          <w:gridAfter w:val="1"/>
          <w:wAfter w:w="33" w:type="dxa"/>
          <w:trHeight w:val="353"/>
        </w:trPr>
        <w:tc>
          <w:tcPr>
            <w:tcW w:w="2800" w:type="dxa"/>
            <w:tcBorders>
              <w:top w:val="single" w:sz="8" w:space="0" w:color="4F81BD"/>
              <w:left w:val="single" w:sz="8" w:space="0" w:color="4F81BD"/>
              <w:bottom w:val="single" w:sz="8" w:space="0" w:color="4F81BD"/>
              <w:right w:val="nil"/>
            </w:tcBorders>
            <w:shd w:val="clear" w:color="auto" w:fill="auto"/>
            <w:noWrap/>
            <w:vAlign w:val="center"/>
            <w:hideMark/>
          </w:tcPr>
          <w:p w14:paraId="04D82D98" w14:textId="77777777" w:rsidR="00B22054" w:rsidRPr="00831B38" w:rsidRDefault="00B22054" w:rsidP="00B0410A">
            <w:pPr>
              <w:spacing w:after="0" w:line="360" w:lineRule="auto"/>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Transferencias de capital</w:t>
            </w:r>
          </w:p>
        </w:tc>
        <w:tc>
          <w:tcPr>
            <w:tcW w:w="2020" w:type="dxa"/>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14:paraId="7459C1C9" w14:textId="56C0C702" w:rsidR="00B22054" w:rsidRPr="00831B38" w:rsidRDefault="00B22054" w:rsidP="00B0410A">
            <w:pPr>
              <w:spacing w:after="0" w:line="360" w:lineRule="auto"/>
              <w:jc w:val="center"/>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w:t>
            </w:r>
          </w:p>
        </w:tc>
        <w:tc>
          <w:tcPr>
            <w:tcW w:w="1941" w:type="dxa"/>
            <w:tcBorders>
              <w:top w:val="single" w:sz="8" w:space="0" w:color="4F81BD"/>
              <w:left w:val="nil"/>
              <w:bottom w:val="single" w:sz="8" w:space="0" w:color="4F81BD"/>
              <w:right w:val="nil"/>
            </w:tcBorders>
            <w:shd w:val="clear" w:color="auto" w:fill="auto"/>
            <w:noWrap/>
            <w:vAlign w:val="center"/>
            <w:hideMark/>
          </w:tcPr>
          <w:p w14:paraId="326C243F" w14:textId="4EF3CC66" w:rsidR="00B22054" w:rsidRPr="00831B38" w:rsidRDefault="00B22054" w:rsidP="00B0410A">
            <w:pPr>
              <w:spacing w:after="0" w:line="360" w:lineRule="auto"/>
              <w:jc w:val="center"/>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w:t>
            </w:r>
          </w:p>
        </w:tc>
        <w:tc>
          <w:tcPr>
            <w:tcW w:w="1744" w:type="dxa"/>
            <w:tcBorders>
              <w:top w:val="nil"/>
              <w:left w:val="single" w:sz="8" w:space="0" w:color="4F81BD"/>
              <w:bottom w:val="single" w:sz="8" w:space="0" w:color="4F81BD"/>
              <w:right w:val="single" w:sz="8" w:space="0" w:color="4F81BD"/>
            </w:tcBorders>
            <w:shd w:val="clear" w:color="auto" w:fill="auto"/>
            <w:noWrap/>
            <w:vAlign w:val="center"/>
            <w:hideMark/>
          </w:tcPr>
          <w:p w14:paraId="79B751D6" w14:textId="4FD6D03C" w:rsidR="00B22054" w:rsidRPr="00831B38" w:rsidRDefault="00B22054" w:rsidP="00B0410A">
            <w:pPr>
              <w:spacing w:after="0" w:line="360" w:lineRule="auto"/>
              <w:jc w:val="center"/>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w:t>
            </w:r>
          </w:p>
        </w:tc>
        <w:tc>
          <w:tcPr>
            <w:tcW w:w="1200" w:type="dxa"/>
            <w:tcBorders>
              <w:top w:val="nil"/>
              <w:left w:val="nil"/>
              <w:bottom w:val="nil"/>
              <w:right w:val="nil"/>
            </w:tcBorders>
            <w:shd w:val="clear" w:color="auto" w:fill="auto"/>
            <w:noWrap/>
            <w:vAlign w:val="bottom"/>
            <w:hideMark/>
          </w:tcPr>
          <w:p w14:paraId="08CB6D7D" w14:textId="77777777" w:rsidR="00B22054" w:rsidRPr="00831B38" w:rsidRDefault="00B22054" w:rsidP="0063648C">
            <w:pPr>
              <w:spacing w:after="0" w:line="360" w:lineRule="auto"/>
              <w:jc w:val="right"/>
              <w:rPr>
                <w:rFonts w:ascii="Arial" w:eastAsia="Times New Roman" w:hAnsi="Arial" w:cs="Arial"/>
                <w:sz w:val="20"/>
                <w:szCs w:val="20"/>
                <w:lang w:val="es-CR" w:eastAsia="es-CR"/>
              </w:rPr>
            </w:pPr>
          </w:p>
        </w:tc>
        <w:tc>
          <w:tcPr>
            <w:tcW w:w="1200" w:type="dxa"/>
            <w:tcBorders>
              <w:top w:val="nil"/>
              <w:left w:val="nil"/>
              <w:bottom w:val="nil"/>
              <w:right w:val="nil"/>
            </w:tcBorders>
            <w:shd w:val="clear" w:color="auto" w:fill="auto"/>
            <w:noWrap/>
            <w:vAlign w:val="bottom"/>
            <w:hideMark/>
          </w:tcPr>
          <w:p w14:paraId="7F3419DD" w14:textId="77777777" w:rsidR="00B22054" w:rsidRPr="00831B38" w:rsidRDefault="00B22054" w:rsidP="0063648C">
            <w:pPr>
              <w:spacing w:after="0" w:line="360" w:lineRule="auto"/>
              <w:jc w:val="right"/>
              <w:rPr>
                <w:rFonts w:ascii="Arial" w:eastAsia="Times New Roman" w:hAnsi="Arial" w:cs="Arial"/>
                <w:sz w:val="20"/>
                <w:szCs w:val="20"/>
                <w:lang w:val="es-CR" w:eastAsia="es-CR"/>
              </w:rPr>
            </w:pPr>
          </w:p>
        </w:tc>
        <w:tc>
          <w:tcPr>
            <w:tcW w:w="1200" w:type="dxa"/>
            <w:tcBorders>
              <w:top w:val="nil"/>
              <w:left w:val="nil"/>
              <w:bottom w:val="nil"/>
              <w:right w:val="nil"/>
            </w:tcBorders>
            <w:shd w:val="clear" w:color="auto" w:fill="auto"/>
            <w:noWrap/>
            <w:vAlign w:val="bottom"/>
            <w:hideMark/>
          </w:tcPr>
          <w:p w14:paraId="0CD1421A" w14:textId="77777777" w:rsidR="00B22054" w:rsidRPr="00831B38" w:rsidRDefault="00B22054" w:rsidP="0063648C">
            <w:pPr>
              <w:spacing w:after="0" w:line="360" w:lineRule="auto"/>
              <w:jc w:val="right"/>
              <w:rPr>
                <w:rFonts w:ascii="Arial" w:eastAsia="Times New Roman" w:hAnsi="Arial" w:cs="Arial"/>
                <w:sz w:val="20"/>
                <w:szCs w:val="20"/>
                <w:lang w:val="es-CR" w:eastAsia="es-CR"/>
              </w:rPr>
            </w:pPr>
          </w:p>
        </w:tc>
      </w:tr>
      <w:tr w:rsidR="00B22054" w:rsidRPr="00831B38" w14:paraId="511C3D03" w14:textId="77777777" w:rsidTr="000353BD">
        <w:trPr>
          <w:gridAfter w:val="1"/>
          <w:wAfter w:w="33" w:type="dxa"/>
          <w:trHeight w:val="353"/>
        </w:trPr>
        <w:tc>
          <w:tcPr>
            <w:tcW w:w="2800" w:type="dxa"/>
            <w:tcBorders>
              <w:top w:val="nil"/>
              <w:left w:val="single" w:sz="8" w:space="0" w:color="4F81BD"/>
              <w:bottom w:val="nil"/>
              <w:right w:val="nil"/>
            </w:tcBorders>
            <w:shd w:val="clear" w:color="auto" w:fill="auto"/>
            <w:noWrap/>
            <w:vAlign w:val="center"/>
            <w:hideMark/>
          </w:tcPr>
          <w:p w14:paraId="3404AB71" w14:textId="77777777" w:rsidR="00B22054" w:rsidRPr="00831B38" w:rsidRDefault="00B22054" w:rsidP="00B0410A">
            <w:pPr>
              <w:spacing w:after="0" w:line="360" w:lineRule="auto"/>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Amortización</w:t>
            </w:r>
          </w:p>
        </w:tc>
        <w:tc>
          <w:tcPr>
            <w:tcW w:w="2020" w:type="dxa"/>
            <w:tcBorders>
              <w:top w:val="nil"/>
              <w:left w:val="single" w:sz="8" w:space="0" w:color="4F81BD"/>
              <w:bottom w:val="nil"/>
              <w:right w:val="single" w:sz="8" w:space="0" w:color="4F81BD"/>
            </w:tcBorders>
            <w:shd w:val="clear" w:color="auto" w:fill="auto"/>
            <w:noWrap/>
            <w:vAlign w:val="center"/>
            <w:hideMark/>
          </w:tcPr>
          <w:p w14:paraId="3231D05D" w14:textId="27DE6263" w:rsidR="00B22054" w:rsidRPr="00831B38" w:rsidRDefault="00B22054" w:rsidP="00B0410A">
            <w:pPr>
              <w:spacing w:after="0" w:line="360" w:lineRule="auto"/>
              <w:jc w:val="center"/>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w:t>
            </w:r>
          </w:p>
        </w:tc>
        <w:tc>
          <w:tcPr>
            <w:tcW w:w="1941" w:type="dxa"/>
            <w:tcBorders>
              <w:top w:val="nil"/>
              <w:left w:val="nil"/>
              <w:bottom w:val="nil"/>
              <w:right w:val="nil"/>
            </w:tcBorders>
            <w:shd w:val="clear" w:color="auto" w:fill="auto"/>
            <w:noWrap/>
            <w:vAlign w:val="center"/>
            <w:hideMark/>
          </w:tcPr>
          <w:p w14:paraId="3C13501C" w14:textId="28C4C58C" w:rsidR="00B22054" w:rsidRPr="00831B38" w:rsidRDefault="00B22054" w:rsidP="00B0410A">
            <w:pPr>
              <w:spacing w:after="0" w:line="360" w:lineRule="auto"/>
              <w:jc w:val="center"/>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w:t>
            </w:r>
          </w:p>
        </w:tc>
        <w:tc>
          <w:tcPr>
            <w:tcW w:w="1744" w:type="dxa"/>
            <w:tcBorders>
              <w:top w:val="nil"/>
              <w:left w:val="single" w:sz="8" w:space="0" w:color="4F81BD"/>
              <w:bottom w:val="single" w:sz="8" w:space="0" w:color="4F81BD"/>
              <w:right w:val="single" w:sz="8" w:space="0" w:color="4F81BD"/>
            </w:tcBorders>
            <w:shd w:val="clear" w:color="auto" w:fill="auto"/>
            <w:noWrap/>
            <w:vAlign w:val="center"/>
            <w:hideMark/>
          </w:tcPr>
          <w:p w14:paraId="4BF51139" w14:textId="3ADFC37B" w:rsidR="00B22054" w:rsidRPr="00831B38" w:rsidRDefault="00B22054" w:rsidP="00B0410A">
            <w:pPr>
              <w:spacing w:after="0" w:line="360" w:lineRule="auto"/>
              <w:jc w:val="center"/>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w:t>
            </w:r>
          </w:p>
        </w:tc>
        <w:tc>
          <w:tcPr>
            <w:tcW w:w="1200" w:type="dxa"/>
            <w:tcBorders>
              <w:top w:val="nil"/>
              <w:left w:val="nil"/>
              <w:bottom w:val="nil"/>
              <w:right w:val="nil"/>
            </w:tcBorders>
            <w:shd w:val="clear" w:color="auto" w:fill="auto"/>
            <w:noWrap/>
            <w:vAlign w:val="bottom"/>
            <w:hideMark/>
          </w:tcPr>
          <w:p w14:paraId="13A28363" w14:textId="77777777" w:rsidR="00B22054" w:rsidRPr="00831B38" w:rsidRDefault="00B22054" w:rsidP="0063648C">
            <w:pPr>
              <w:spacing w:after="0" w:line="360" w:lineRule="auto"/>
              <w:jc w:val="right"/>
              <w:rPr>
                <w:rFonts w:ascii="Arial" w:eastAsia="Times New Roman" w:hAnsi="Arial" w:cs="Arial"/>
                <w:sz w:val="20"/>
                <w:szCs w:val="20"/>
                <w:lang w:val="es-CR" w:eastAsia="es-CR"/>
              </w:rPr>
            </w:pPr>
          </w:p>
        </w:tc>
        <w:tc>
          <w:tcPr>
            <w:tcW w:w="1200" w:type="dxa"/>
            <w:tcBorders>
              <w:top w:val="nil"/>
              <w:left w:val="nil"/>
              <w:bottom w:val="nil"/>
              <w:right w:val="nil"/>
            </w:tcBorders>
            <w:shd w:val="clear" w:color="auto" w:fill="auto"/>
            <w:noWrap/>
            <w:vAlign w:val="bottom"/>
            <w:hideMark/>
          </w:tcPr>
          <w:p w14:paraId="5C9731F9" w14:textId="77777777" w:rsidR="00B22054" w:rsidRPr="00831B38" w:rsidRDefault="00B22054" w:rsidP="0063648C">
            <w:pPr>
              <w:spacing w:after="0" w:line="360" w:lineRule="auto"/>
              <w:jc w:val="right"/>
              <w:rPr>
                <w:rFonts w:ascii="Arial" w:eastAsia="Times New Roman" w:hAnsi="Arial" w:cs="Arial"/>
                <w:sz w:val="20"/>
                <w:szCs w:val="20"/>
                <w:lang w:val="es-CR" w:eastAsia="es-CR"/>
              </w:rPr>
            </w:pPr>
          </w:p>
        </w:tc>
        <w:tc>
          <w:tcPr>
            <w:tcW w:w="1200" w:type="dxa"/>
            <w:tcBorders>
              <w:top w:val="nil"/>
              <w:left w:val="nil"/>
              <w:bottom w:val="nil"/>
              <w:right w:val="nil"/>
            </w:tcBorders>
            <w:shd w:val="clear" w:color="auto" w:fill="auto"/>
            <w:noWrap/>
            <w:vAlign w:val="bottom"/>
            <w:hideMark/>
          </w:tcPr>
          <w:p w14:paraId="2F650276" w14:textId="77777777" w:rsidR="00B22054" w:rsidRPr="00831B38" w:rsidRDefault="00B22054" w:rsidP="0063648C">
            <w:pPr>
              <w:spacing w:after="0" w:line="360" w:lineRule="auto"/>
              <w:jc w:val="right"/>
              <w:rPr>
                <w:rFonts w:ascii="Arial" w:eastAsia="Times New Roman" w:hAnsi="Arial" w:cs="Arial"/>
                <w:sz w:val="20"/>
                <w:szCs w:val="20"/>
                <w:lang w:val="es-CR" w:eastAsia="es-CR"/>
              </w:rPr>
            </w:pPr>
          </w:p>
        </w:tc>
      </w:tr>
      <w:tr w:rsidR="00DC7093" w:rsidRPr="00831B38" w14:paraId="2CBE9ED4" w14:textId="77777777" w:rsidTr="000353BD">
        <w:trPr>
          <w:gridAfter w:val="1"/>
          <w:wAfter w:w="33" w:type="dxa"/>
          <w:trHeight w:val="353"/>
        </w:trPr>
        <w:tc>
          <w:tcPr>
            <w:tcW w:w="2800" w:type="dxa"/>
            <w:tcBorders>
              <w:top w:val="single" w:sz="8" w:space="0" w:color="4F81BD"/>
              <w:left w:val="single" w:sz="8" w:space="0" w:color="4F81BD"/>
              <w:bottom w:val="single" w:sz="8" w:space="0" w:color="4F81BD"/>
              <w:right w:val="nil"/>
            </w:tcBorders>
            <w:shd w:val="clear" w:color="auto" w:fill="auto"/>
            <w:noWrap/>
            <w:vAlign w:val="center"/>
            <w:hideMark/>
          </w:tcPr>
          <w:p w14:paraId="435D7541" w14:textId="77777777" w:rsidR="00DC7093" w:rsidRPr="00831B38" w:rsidRDefault="00DC7093" w:rsidP="00B0410A">
            <w:pPr>
              <w:spacing w:after="0" w:line="360" w:lineRule="auto"/>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Cuentas especiales</w:t>
            </w:r>
          </w:p>
        </w:tc>
        <w:tc>
          <w:tcPr>
            <w:tcW w:w="2020" w:type="dxa"/>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14:paraId="73681E4B" w14:textId="7A260626" w:rsidR="00DC7093" w:rsidRPr="00831B38" w:rsidRDefault="00DC7093" w:rsidP="00B0410A">
            <w:pPr>
              <w:spacing w:after="0" w:line="360" w:lineRule="auto"/>
              <w:jc w:val="center"/>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0,00</w:t>
            </w:r>
          </w:p>
        </w:tc>
        <w:tc>
          <w:tcPr>
            <w:tcW w:w="1941" w:type="dxa"/>
            <w:tcBorders>
              <w:top w:val="single" w:sz="8" w:space="0" w:color="4F81BD"/>
              <w:left w:val="nil"/>
              <w:bottom w:val="single" w:sz="8" w:space="0" w:color="4F81BD"/>
              <w:right w:val="nil"/>
            </w:tcBorders>
            <w:shd w:val="clear" w:color="auto" w:fill="auto"/>
            <w:noWrap/>
            <w:vAlign w:val="center"/>
            <w:hideMark/>
          </w:tcPr>
          <w:p w14:paraId="7C5F21B9" w14:textId="2872C628" w:rsidR="00DC7093" w:rsidRPr="00831B38" w:rsidRDefault="00DC7093" w:rsidP="00B0410A">
            <w:pPr>
              <w:spacing w:after="0" w:line="360" w:lineRule="auto"/>
              <w:jc w:val="center"/>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0,00</w:t>
            </w:r>
          </w:p>
        </w:tc>
        <w:tc>
          <w:tcPr>
            <w:tcW w:w="1744" w:type="dxa"/>
            <w:tcBorders>
              <w:top w:val="nil"/>
              <w:left w:val="single" w:sz="8" w:space="0" w:color="4F81BD"/>
              <w:bottom w:val="single" w:sz="8" w:space="0" w:color="4F81BD"/>
              <w:right w:val="single" w:sz="8" w:space="0" w:color="4F81BD"/>
            </w:tcBorders>
            <w:shd w:val="clear" w:color="auto" w:fill="auto"/>
            <w:noWrap/>
            <w:vAlign w:val="center"/>
            <w:hideMark/>
          </w:tcPr>
          <w:p w14:paraId="689DA76C" w14:textId="77777777" w:rsidR="00DC7093" w:rsidRPr="00831B38" w:rsidRDefault="00DC7093" w:rsidP="00B0410A">
            <w:pPr>
              <w:spacing w:after="0" w:line="360" w:lineRule="auto"/>
              <w:jc w:val="center"/>
              <w:rPr>
                <w:rFonts w:ascii="Arial" w:eastAsia="Times New Roman" w:hAnsi="Arial" w:cs="Arial"/>
                <w:sz w:val="20"/>
                <w:szCs w:val="20"/>
                <w:lang w:val="es-CR" w:eastAsia="es-CR"/>
              </w:rPr>
            </w:pPr>
            <w:r w:rsidRPr="00831B38">
              <w:rPr>
                <w:rFonts w:ascii="Arial" w:eastAsia="Times New Roman" w:hAnsi="Arial" w:cs="Arial"/>
                <w:sz w:val="20"/>
                <w:szCs w:val="20"/>
                <w:lang w:val="es-CR" w:eastAsia="es-CR"/>
              </w:rPr>
              <w:t>0,00%</w:t>
            </w:r>
          </w:p>
        </w:tc>
        <w:tc>
          <w:tcPr>
            <w:tcW w:w="1200" w:type="dxa"/>
            <w:tcBorders>
              <w:top w:val="nil"/>
              <w:left w:val="nil"/>
              <w:bottom w:val="nil"/>
              <w:right w:val="nil"/>
            </w:tcBorders>
            <w:shd w:val="clear" w:color="auto" w:fill="auto"/>
            <w:noWrap/>
            <w:vAlign w:val="bottom"/>
            <w:hideMark/>
          </w:tcPr>
          <w:p w14:paraId="032CC5C3" w14:textId="77777777" w:rsidR="00DC7093" w:rsidRPr="00831B38" w:rsidRDefault="00DC7093" w:rsidP="0063648C">
            <w:pPr>
              <w:spacing w:after="0" w:line="360" w:lineRule="auto"/>
              <w:jc w:val="right"/>
              <w:rPr>
                <w:rFonts w:ascii="Arial" w:eastAsia="Times New Roman" w:hAnsi="Arial" w:cs="Arial"/>
                <w:sz w:val="20"/>
                <w:szCs w:val="20"/>
                <w:lang w:val="es-CR" w:eastAsia="es-CR"/>
              </w:rPr>
            </w:pPr>
          </w:p>
        </w:tc>
        <w:tc>
          <w:tcPr>
            <w:tcW w:w="1200" w:type="dxa"/>
            <w:tcBorders>
              <w:top w:val="nil"/>
              <w:left w:val="nil"/>
              <w:bottom w:val="nil"/>
              <w:right w:val="nil"/>
            </w:tcBorders>
            <w:shd w:val="clear" w:color="auto" w:fill="auto"/>
            <w:noWrap/>
            <w:vAlign w:val="bottom"/>
            <w:hideMark/>
          </w:tcPr>
          <w:p w14:paraId="67AB700D" w14:textId="77777777" w:rsidR="00DC7093" w:rsidRPr="00831B38" w:rsidRDefault="00DC7093" w:rsidP="0063648C">
            <w:pPr>
              <w:spacing w:after="0" w:line="360" w:lineRule="auto"/>
              <w:jc w:val="right"/>
              <w:rPr>
                <w:rFonts w:ascii="Arial" w:eastAsia="Times New Roman" w:hAnsi="Arial" w:cs="Arial"/>
                <w:sz w:val="20"/>
                <w:szCs w:val="20"/>
                <w:lang w:val="es-CR" w:eastAsia="es-CR"/>
              </w:rPr>
            </w:pPr>
          </w:p>
        </w:tc>
        <w:tc>
          <w:tcPr>
            <w:tcW w:w="1200" w:type="dxa"/>
            <w:tcBorders>
              <w:top w:val="nil"/>
              <w:left w:val="nil"/>
              <w:bottom w:val="nil"/>
              <w:right w:val="nil"/>
            </w:tcBorders>
            <w:shd w:val="clear" w:color="auto" w:fill="auto"/>
            <w:noWrap/>
            <w:vAlign w:val="bottom"/>
            <w:hideMark/>
          </w:tcPr>
          <w:p w14:paraId="36F694FE" w14:textId="77777777" w:rsidR="00DC7093" w:rsidRPr="00831B38" w:rsidRDefault="00DC7093" w:rsidP="0063648C">
            <w:pPr>
              <w:spacing w:after="0" w:line="360" w:lineRule="auto"/>
              <w:jc w:val="right"/>
              <w:rPr>
                <w:rFonts w:ascii="Arial" w:eastAsia="Times New Roman" w:hAnsi="Arial" w:cs="Arial"/>
                <w:sz w:val="20"/>
                <w:szCs w:val="20"/>
                <w:lang w:val="es-CR" w:eastAsia="es-CR"/>
              </w:rPr>
            </w:pPr>
          </w:p>
        </w:tc>
      </w:tr>
      <w:tr w:rsidR="00DC7093" w:rsidRPr="00DC7093" w14:paraId="569D48F2" w14:textId="77777777" w:rsidTr="000353BD">
        <w:trPr>
          <w:trHeight w:val="300"/>
        </w:trPr>
        <w:tc>
          <w:tcPr>
            <w:tcW w:w="12138" w:type="dxa"/>
            <w:gridSpan w:val="8"/>
            <w:tcBorders>
              <w:top w:val="nil"/>
              <w:left w:val="nil"/>
              <w:bottom w:val="nil"/>
              <w:right w:val="nil"/>
            </w:tcBorders>
            <w:shd w:val="clear" w:color="auto" w:fill="auto"/>
            <w:noWrap/>
            <w:vAlign w:val="center"/>
            <w:hideMark/>
          </w:tcPr>
          <w:p w14:paraId="27DFFA97" w14:textId="77777777" w:rsidR="00DC7093" w:rsidRPr="00DC7093" w:rsidRDefault="00DC7093" w:rsidP="00EE3900">
            <w:pPr>
              <w:spacing w:after="0" w:line="240" w:lineRule="auto"/>
              <w:rPr>
                <w:rFonts w:ascii="Arial" w:eastAsia="Times New Roman" w:hAnsi="Arial" w:cs="Arial"/>
                <w:b/>
                <w:bCs/>
                <w:sz w:val="16"/>
                <w:szCs w:val="16"/>
                <w:lang w:val="es-CR" w:eastAsia="es-CR"/>
              </w:rPr>
            </w:pPr>
            <w:r w:rsidRPr="00DC7093">
              <w:rPr>
                <w:rFonts w:ascii="Arial" w:eastAsia="Times New Roman" w:hAnsi="Arial" w:cs="Arial"/>
                <w:b/>
                <w:bCs/>
                <w:sz w:val="16"/>
                <w:szCs w:val="16"/>
                <w:lang w:val="es-CR" w:eastAsia="es-CR"/>
              </w:rPr>
              <w:t>Fuente</w:t>
            </w:r>
            <w:r w:rsidRPr="00DC7093">
              <w:rPr>
                <w:rFonts w:ascii="Arial" w:eastAsia="Times New Roman" w:hAnsi="Arial" w:cs="Arial"/>
                <w:sz w:val="16"/>
                <w:szCs w:val="16"/>
                <w:lang w:val="es-CR" w:eastAsia="es-CR"/>
              </w:rPr>
              <w:t>: Liquidación facilitada por la DGPN al 31/12/2021</w:t>
            </w:r>
          </w:p>
        </w:tc>
      </w:tr>
      <w:tr w:rsidR="00DC7093" w:rsidRPr="00DC7093" w14:paraId="2202801A" w14:textId="77777777" w:rsidTr="000353BD">
        <w:trPr>
          <w:trHeight w:val="300"/>
        </w:trPr>
        <w:tc>
          <w:tcPr>
            <w:tcW w:w="12138" w:type="dxa"/>
            <w:gridSpan w:val="8"/>
            <w:tcBorders>
              <w:top w:val="nil"/>
              <w:left w:val="nil"/>
              <w:bottom w:val="nil"/>
              <w:right w:val="nil"/>
            </w:tcBorders>
            <w:shd w:val="clear" w:color="auto" w:fill="auto"/>
            <w:noWrap/>
            <w:vAlign w:val="center"/>
            <w:hideMark/>
          </w:tcPr>
          <w:p w14:paraId="6B0460CD" w14:textId="77777777" w:rsidR="00DC7093" w:rsidRPr="00DC7093" w:rsidRDefault="00DC7093" w:rsidP="00EE3900">
            <w:pPr>
              <w:spacing w:after="0" w:line="240" w:lineRule="auto"/>
              <w:rPr>
                <w:rFonts w:ascii="Arial" w:eastAsia="Times New Roman" w:hAnsi="Arial" w:cs="Arial"/>
                <w:sz w:val="16"/>
                <w:szCs w:val="16"/>
                <w:lang w:val="es-CR" w:eastAsia="es-CR"/>
              </w:rPr>
            </w:pPr>
            <w:r w:rsidRPr="00DC7093">
              <w:rPr>
                <w:rFonts w:ascii="Arial" w:eastAsia="Times New Roman" w:hAnsi="Arial" w:cs="Arial"/>
                <w:sz w:val="16"/>
                <w:szCs w:val="16"/>
                <w:lang w:val="es-CR" w:eastAsia="es-CR"/>
              </w:rPr>
              <w:t>/1 Corresponde al presupuesto inicial incluyendo las modificaciones presupuestarias realizadas durante el 2021.</w:t>
            </w:r>
          </w:p>
        </w:tc>
      </w:tr>
      <w:tr w:rsidR="00DC7093" w:rsidRPr="00DC7093" w14:paraId="74745970" w14:textId="77777777" w:rsidTr="000353BD">
        <w:trPr>
          <w:trHeight w:val="552"/>
        </w:trPr>
        <w:tc>
          <w:tcPr>
            <w:tcW w:w="12138" w:type="dxa"/>
            <w:gridSpan w:val="8"/>
            <w:tcBorders>
              <w:top w:val="nil"/>
              <w:left w:val="nil"/>
              <w:bottom w:val="nil"/>
              <w:right w:val="nil"/>
            </w:tcBorders>
            <w:shd w:val="clear" w:color="auto" w:fill="auto"/>
            <w:vAlign w:val="center"/>
            <w:hideMark/>
          </w:tcPr>
          <w:p w14:paraId="1E02C774" w14:textId="77777777" w:rsidR="00DC7093" w:rsidRDefault="00DC7093" w:rsidP="00EE3900">
            <w:pPr>
              <w:spacing w:after="0" w:line="240" w:lineRule="auto"/>
              <w:rPr>
                <w:rFonts w:ascii="Arial" w:eastAsia="Times New Roman" w:hAnsi="Arial" w:cs="Arial"/>
                <w:color w:val="000000"/>
                <w:sz w:val="16"/>
                <w:szCs w:val="16"/>
                <w:lang w:val="es-CR" w:eastAsia="es-CR"/>
              </w:rPr>
            </w:pPr>
            <w:r w:rsidRPr="00DC7093">
              <w:rPr>
                <w:rFonts w:ascii="Arial" w:eastAsia="Times New Roman" w:hAnsi="Arial" w:cs="Arial"/>
                <w:color w:val="000000"/>
                <w:sz w:val="16"/>
                <w:szCs w:val="16"/>
                <w:lang w:val="es-CR" w:eastAsia="es-CR"/>
              </w:rPr>
              <w:t>/2 Se refiere al devengado, que es el reconocimiento del gasto por la recepción de bienes y servicios</w:t>
            </w:r>
          </w:p>
          <w:p w14:paraId="629C1D9A" w14:textId="1A287AFC" w:rsidR="00DC7093" w:rsidRDefault="00DC7093" w:rsidP="00EE3900">
            <w:pPr>
              <w:spacing w:after="0" w:line="240" w:lineRule="auto"/>
              <w:rPr>
                <w:rFonts w:ascii="Arial" w:eastAsia="Times New Roman" w:hAnsi="Arial" w:cs="Arial"/>
                <w:color w:val="000000"/>
                <w:sz w:val="16"/>
                <w:szCs w:val="16"/>
                <w:lang w:val="es-CR" w:eastAsia="es-CR"/>
              </w:rPr>
            </w:pPr>
            <w:r w:rsidRPr="00DC7093">
              <w:rPr>
                <w:rFonts w:ascii="Arial" w:eastAsia="Times New Roman" w:hAnsi="Arial" w:cs="Arial"/>
                <w:color w:val="000000"/>
                <w:sz w:val="16"/>
                <w:szCs w:val="16"/>
                <w:lang w:val="es-CR" w:eastAsia="es-CR"/>
              </w:rPr>
              <w:t xml:space="preserve"> independientemente de cuando se efectúe el pago de la obligación. </w:t>
            </w:r>
          </w:p>
          <w:p w14:paraId="54F92103" w14:textId="1B067AA7" w:rsidR="00DC7093" w:rsidRPr="00DC7093" w:rsidRDefault="00DC7093" w:rsidP="00EE3900">
            <w:pPr>
              <w:spacing w:after="0" w:line="240" w:lineRule="auto"/>
              <w:rPr>
                <w:rFonts w:ascii="Arial" w:eastAsia="Times New Roman" w:hAnsi="Arial" w:cs="Arial"/>
                <w:color w:val="000000"/>
                <w:sz w:val="16"/>
                <w:szCs w:val="16"/>
                <w:lang w:val="es-CR" w:eastAsia="es-CR"/>
              </w:rPr>
            </w:pPr>
          </w:p>
        </w:tc>
      </w:tr>
    </w:tbl>
    <w:p w14:paraId="49AA640C" w14:textId="77777777" w:rsidR="00A837A1" w:rsidRDefault="00A837A1" w:rsidP="00EE3900">
      <w:pPr>
        <w:rPr>
          <w:rFonts w:ascii="Arial" w:hAnsi="Arial" w:cs="Arial"/>
          <w:bCs/>
          <w:strike/>
          <w:sz w:val="20"/>
          <w:szCs w:val="20"/>
          <w:u w:val="single"/>
          <w:lang w:val="es-MX"/>
        </w:rPr>
      </w:pPr>
    </w:p>
    <w:p w14:paraId="2DAF06E9" w14:textId="5B7C8FB1" w:rsidR="006C5E7E" w:rsidRPr="002A3F86" w:rsidRDefault="00AF0D2B" w:rsidP="003C6623">
      <w:pPr>
        <w:spacing w:before="240" w:line="360" w:lineRule="auto"/>
        <w:jc w:val="both"/>
        <w:rPr>
          <w:rFonts w:ascii="Arial" w:hAnsi="Arial" w:cs="Arial"/>
          <w:color w:val="000000" w:themeColor="text1"/>
          <w:sz w:val="20"/>
          <w:szCs w:val="20"/>
          <w:lang w:val="es-ES_tradnl"/>
        </w:rPr>
      </w:pPr>
      <w:r w:rsidRPr="002A3F86">
        <w:rPr>
          <w:rFonts w:ascii="Arial" w:hAnsi="Arial" w:cs="Arial"/>
          <w:color w:val="000000" w:themeColor="text1"/>
          <w:sz w:val="20"/>
          <w:szCs w:val="20"/>
          <w:lang w:val="es-ES_tradnl"/>
        </w:rPr>
        <w:t>Durante el periodo presupuestario 2021, se logró ejecutar un 90</w:t>
      </w:r>
      <w:r w:rsidR="00B22054" w:rsidRPr="002A3F86">
        <w:rPr>
          <w:rFonts w:ascii="Arial" w:hAnsi="Arial" w:cs="Arial"/>
          <w:color w:val="000000" w:themeColor="text1"/>
          <w:sz w:val="20"/>
          <w:szCs w:val="20"/>
          <w:lang w:val="es-ES_tradnl"/>
        </w:rPr>
        <w:t>,</w:t>
      </w:r>
      <w:r w:rsidRPr="002A3F86">
        <w:rPr>
          <w:rFonts w:ascii="Arial" w:hAnsi="Arial" w:cs="Arial"/>
          <w:color w:val="000000" w:themeColor="text1"/>
          <w:sz w:val="20"/>
          <w:szCs w:val="20"/>
          <w:lang w:val="es-ES_tradnl"/>
        </w:rPr>
        <w:t xml:space="preserve">93% de los recursos asignados mediante presupuesto ordinario incluyendo las modificaciones presupuestadas realizadas durante el mismo periodo. Cuyas ejecuciones más relevantes se encuentran en las partidas </w:t>
      </w:r>
      <w:r w:rsidR="006C5E7E" w:rsidRPr="002A3F86">
        <w:rPr>
          <w:rFonts w:ascii="Arial" w:hAnsi="Arial" w:cs="Arial"/>
          <w:color w:val="000000" w:themeColor="text1"/>
          <w:sz w:val="20"/>
          <w:szCs w:val="20"/>
          <w:lang w:val="es-ES_tradnl"/>
        </w:rPr>
        <w:t>presupuestarias de remuneraciones con un 94,9</w:t>
      </w:r>
      <w:r w:rsidR="003134C7" w:rsidRPr="002A3F86">
        <w:rPr>
          <w:rFonts w:ascii="Arial" w:hAnsi="Arial" w:cs="Arial"/>
          <w:color w:val="000000" w:themeColor="text1"/>
          <w:sz w:val="20"/>
          <w:szCs w:val="20"/>
          <w:lang w:val="es-ES_tradnl"/>
        </w:rPr>
        <w:t>6</w:t>
      </w:r>
      <w:r w:rsidR="006C5E7E" w:rsidRPr="002A3F86">
        <w:rPr>
          <w:rFonts w:ascii="Arial" w:hAnsi="Arial" w:cs="Arial"/>
          <w:color w:val="000000" w:themeColor="text1"/>
          <w:sz w:val="20"/>
          <w:szCs w:val="20"/>
          <w:lang w:val="es-ES_tradnl"/>
        </w:rPr>
        <w:t>%, el cual, a su vez refleja un ahorro de 5,0</w:t>
      </w:r>
      <w:r w:rsidR="00AB3DC8">
        <w:rPr>
          <w:rFonts w:ascii="Arial" w:hAnsi="Arial" w:cs="Arial"/>
          <w:color w:val="000000" w:themeColor="text1"/>
          <w:sz w:val="20"/>
          <w:szCs w:val="20"/>
          <w:lang w:val="es-ES_tradnl"/>
        </w:rPr>
        <w:t>4</w:t>
      </w:r>
      <w:r w:rsidR="006C5E7E" w:rsidRPr="002A3F86">
        <w:rPr>
          <w:rFonts w:ascii="Arial" w:hAnsi="Arial" w:cs="Arial"/>
          <w:color w:val="000000" w:themeColor="text1"/>
          <w:sz w:val="20"/>
          <w:szCs w:val="20"/>
          <w:lang w:val="es-ES_tradnl"/>
        </w:rPr>
        <w:t xml:space="preserve">% </w:t>
      </w:r>
      <w:r w:rsidR="006C5E7E" w:rsidRPr="002A3F86">
        <w:rPr>
          <w:rFonts w:ascii="Arial" w:hAnsi="Arial" w:cs="Arial"/>
          <w:color w:val="000000" w:themeColor="text1"/>
          <w:sz w:val="20"/>
          <w:szCs w:val="20"/>
          <w:lang w:val="es-ES_tradnl"/>
        </w:rPr>
        <w:lastRenderedPageBreak/>
        <w:t>por factores como no utilización de plazas vacantes durante gran parte del periodo e incapacidades por periodos superiores a un mes.</w:t>
      </w:r>
    </w:p>
    <w:p w14:paraId="1FF1A079" w14:textId="4F69366F" w:rsidR="00265DD5" w:rsidRPr="002A3F86" w:rsidRDefault="001C1D3B" w:rsidP="003C6623">
      <w:pPr>
        <w:spacing w:before="240" w:line="360" w:lineRule="auto"/>
        <w:jc w:val="both"/>
        <w:rPr>
          <w:rFonts w:ascii="Arial" w:hAnsi="Arial" w:cs="Arial"/>
          <w:color w:val="000000" w:themeColor="text1"/>
          <w:sz w:val="20"/>
          <w:szCs w:val="20"/>
          <w:lang w:val="es-ES_tradnl"/>
        </w:rPr>
      </w:pPr>
      <w:r w:rsidRPr="002A3F86">
        <w:rPr>
          <w:rFonts w:ascii="Arial" w:hAnsi="Arial" w:cs="Arial"/>
          <w:color w:val="000000" w:themeColor="text1"/>
          <w:sz w:val="20"/>
          <w:szCs w:val="20"/>
          <w:lang w:val="es-ES_tradnl"/>
        </w:rPr>
        <w:t xml:space="preserve">En cuanto a la partida de servicios, en el caso </w:t>
      </w:r>
      <w:r w:rsidR="00AB3DC8" w:rsidRPr="002A3F86">
        <w:rPr>
          <w:rFonts w:ascii="Arial" w:hAnsi="Arial" w:cs="Arial"/>
          <w:color w:val="000000" w:themeColor="text1"/>
          <w:sz w:val="20"/>
          <w:szCs w:val="20"/>
          <w:lang w:val="es-ES_tradnl"/>
        </w:rPr>
        <w:t>específico</w:t>
      </w:r>
      <w:r w:rsidRPr="002A3F86">
        <w:rPr>
          <w:rFonts w:ascii="Arial" w:hAnsi="Arial" w:cs="Arial"/>
          <w:color w:val="000000" w:themeColor="text1"/>
          <w:sz w:val="20"/>
          <w:szCs w:val="20"/>
          <w:lang w:val="es-ES_tradnl"/>
        </w:rPr>
        <w:t xml:space="preserve"> del Instituto Costarricense Sobre Drogas es muy variable, puesto que se proyectan recursos para eventuales nuevas contrataciones derivadas de nuevos compromisos en la guarda y custodia de bienes en estado de decomiso o comiso, por lo que se puede hacer referencia a un 14,91% </w:t>
      </w:r>
      <w:r w:rsidR="00265DD5" w:rsidRPr="002A3F86">
        <w:rPr>
          <w:rFonts w:ascii="Arial" w:hAnsi="Arial" w:cs="Arial"/>
          <w:color w:val="000000" w:themeColor="text1"/>
          <w:sz w:val="20"/>
          <w:szCs w:val="20"/>
          <w:lang w:val="es-ES_tradnl"/>
        </w:rPr>
        <w:t>de ahorro en servicios, principalmente servicios generales, que no fueron utilizados para el mantenimiento de bienes inmuebles y muebles en custodia del ICD; así como en otros rubros como viáticos y servicios públicos, provenientes de ahorros por concepto de teletrabajo.</w:t>
      </w:r>
    </w:p>
    <w:p w14:paraId="769DA64B" w14:textId="241A3795" w:rsidR="00265DD5" w:rsidRPr="002A3F86" w:rsidRDefault="00265DD5" w:rsidP="003C6623">
      <w:pPr>
        <w:spacing w:before="240" w:line="360" w:lineRule="auto"/>
        <w:jc w:val="both"/>
        <w:rPr>
          <w:rFonts w:ascii="Arial" w:hAnsi="Arial" w:cs="Arial"/>
          <w:color w:val="000000" w:themeColor="text1"/>
          <w:sz w:val="20"/>
          <w:szCs w:val="20"/>
          <w:lang w:val="es-ES_tradnl"/>
        </w:rPr>
      </w:pPr>
      <w:r w:rsidRPr="002A3F86">
        <w:rPr>
          <w:rFonts w:ascii="Arial" w:hAnsi="Arial" w:cs="Arial"/>
          <w:color w:val="000000" w:themeColor="text1"/>
          <w:sz w:val="20"/>
          <w:szCs w:val="20"/>
          <w:lang w:val="es-ES_tradnl"/>
        </w:rPr>
        <w:t xml:space="preserve">Con referencia a </w:t>
      </w:r>
      <w:r w:rsidR="002B338F" w:rsidRPr="002A3F86">
        <w:rPr>
          <w:rFonts w:ascii="Arial" w:hAnsi="Arial" w:cs="Arial"/>
          <w:color w:val="000000" w:themeColor="text1"/>
          <w:sz w:val="20"/>
          <w:szCs w:val="20"/>
          <w:lang w:val="es-ES_tradnl"/>
        </w:rPr>
        <w:t xml:space="preserve">la partida de materiales, se cree que es un impacto secundario de covid-19 y la implementación de la modalidad de teletrabajo que trajo consigo, debido a que los funcionarios consumen los materiales que tienen a su disipación en sus hogares financiados por ellos mismos; por otra </w:t>
      </w:r>
      <w:r w:rsidR="00CF7FF8" w:rsidRPr="002A3F86">
        <w:rPr>
          <w:rFonts w:ascii="Arial" w:hAnsi="Arial" w:cs="Arial"/>
          <w:color w:val="000000" w:themeColor="text1"/>
          <w:sz w:val="20"/>
          <w:szCs w:val="20"/>
          <w:lang w:val="es-ES_tradnl"/>
        </w:rPr>
        <w:t>parte,</w:t>
      </w:r>
      <w:r w:rsidR="002B338F" w:rsidRPr="002A3F86">
        <w:rPr>
          <w:rFonts w:ascii="Arial" w:hAnsi="Arial" w:cs="Arial"/>
          <w:color w:val="000000" w:themeColor="text1"/>
          <w:sz w:val="20"/>
          <w:szCs w:val="20"/>
          <w:lang w:val="es-ES_tradnl"/>
        </w:rPr>
        <w:t xml:space="preserve"> también se ha implementado políticas de </w:t>
      </w:r>
      <w:r w:rsidR="00CF7FF8" w:rsidRPr="002A3F86">
        <w:rPr>
          <w:rFonts w:ascii="Arial" w:hAnsi="Arial" w:cs="Arial"/>
          <w:color w:val="000000" w:themeColor="text1"/>
          <w:sz w:val="20"/>
          <w:szCs w:val="20"/>
          <w:lang w:val="es-ES_tradnl"/>
        </w:rPr>
        <w:t>cero papeles</w:t>
      </w:r>
      <w:r w:rsidR="002B338F" w:rsidRPr="002A3F86">
        <w:rPr>
          <w:rFonts w:ascii="Arial" w:hAnsi="Arial" w:cs="Arial"/>
          <w:color w:val="000000" w:themeColor="text1"/>
          <w:sz w:val="20"/>
          <w:szCs w:val="20"/>
          <w:lang w:val="es-ES_tradnl"/>
        </w:rPr>
        <w:t>, que a su vez disminuye el consumo de otros útiles y materiales como tintas, tóner, lápices, lapiceros, gomas, tijeras entre otro.</w:t>
      </w:r>
      <w:r w:rsidR="00CF7FF8" w:rsidRPr="002A3F86">
        <w:rPr>
          <w:rFonts w:ascii="Arial" w:hAnsi="Arial" w:cs="Arial"/>
          <w:color w:val="000000" w:themeColor="text1"/>
          <w:sz w:val="20"/>
          <w:szCs w:val="20"/>
          <w:lang w:val="es-ES_tradnl"/>
        </w:rPr>
        <w:t xml:space="preserve"> Por ello, se logra conseguir solamente una ejecución del 64,77% a pesar de las acciones correctivas implementadas descritas en el cuadro 3.</w:t>
      </w:r>
    </w:p>
    <w:p w14:paraId="1CD325E6" w14:textId="4847A181" w:rsidR="00CF7FF8" w:rsidRPr="002A3F86" w:rsidRDefault="003134C7" w:rsidP="003C6623">
      <w:pPr>
        <w:spacing w:before="240" w:line="360" w:lineRule="auto"/>
        <w:jc w:val="both"/>
        <w:rPr>
          <w:rFonts w:ascii="Arial" w:hAnsi="Arial" w:cs="Arial"/>
          <w:color w:val="000000" w:themeColor="text1"/>
          <w:sz w:val="20"/>
          <w:szCs w:val="20"/>
          <w:lang w:val="es-ES_tradnl"/>
        </w:rPr>
      </w:pPr>
      <w:r w:rsidRPr="002A3F86">
        <w:rPr>
          <w:rFonts w:ascii="Arial" w:hAnsi="Arial" w:cs="Arial"/>
          <w:color w:val="000000" w:themeColor="text1"/>
          <w:sz w:val="20"/>
          <w:szCs w:val="20"/>
          <w:lang w:val="es-ES_tradnl"/>
        </w:rPr>
        <w:t>Seguidamente</w:t>
      </w:r>
      <w:r w:rsidR="00CF7FF8" w:rsidRPr="002A3F86">
        <w:rPr>
          <w:rFonts w:ascii="Arial" w:hAnsi="Arial" w:cs="Arial"/>
          <w:color w:val="000000" w:themeColor="text1"/>
          <w:sz w:val="20"/>
          <w:szCs w:val="20"/>
          <w:lang w:val="es-ES_tradnl"/>
        </w:rPr>
        <w:t>, en la partida de bienes durade</w:t>
      </w:r>
      <w:r w:rsidR="00B94C44" w:rsidRPr="002A3F86">
        <w:rPr>
          <w:rFonts w:ascii="Arial" w:hAnsi="Arial" w:cs="Arial"/>
          <w:color w:val="000000" w:themeColor="text1"/>
          <w:sz w:val="20"/>
          <w:szCs w:val="20"/>
          <w:lang w:val="es-ES_tradnl"/>
        </w:rPr>
        <w:t xml:space="preserve">ros, se logró tener una ejecución del 12,47%, por limitaciones por norma técnica 20, que generó atrasos para la realización de algunos procesos de contratación administrativas se pudieran dar antes de finalizar el periodo presupuestario, así como cambios en la plataforma tecnológica adquiridas por el Instituto durante el año 2020, que </w:t>
      </w:r>
      <w:r w:rsidR="00B260CE" w:rsidRPr="002A3F86">
        <w:rPr>
          <w:rFonts w:ascii="Arial" w:hAnsi="Arial" w:cs="Arial"/>
          <w:color w:val="000000" w:themeColor="text1"/>
          <w:sz w:val="20"/>
          <w:szCs w:val="20"/>
          <w:lang w:val="es-ES_tradnl"/>
        </w:rPr>
        <w:t>subsano muchas necesidades en la adquisición de nuevas plataformas, que se tenían presupuestadas para el 2021.</w:t>
      </w:r>
    </w:p>
    <w:p w14:paraId="05EC68F8" w14:textId="745F3228" w:rsidR="003134C7" w:rsidRPr="002A3F86" w:rsidRDefault="003134C7" w:rsidP="003C6623">
      <w:pPr>
        <w:spacing w:before="240" w:line="360" w:lineRule="auto"/>
        <w:jc w:val="both"/>
        <w:rPr>
          <w:rFonts w:ascii="Arial" w:hAnsi="Arial" w:cs="Arial"/>
          <w:color w:val="000000" w:themeColor="text1"/>
          <w:sz w:val="20"/>
          <w:szCs w:val="20"/>
          <w:lang w:val="es-ES_tradnl"/>
        </w:rPr>
      </w:pPr>
      <w:r w:rsidRPr="002A3F86">
        <w:rPr>
          <w:rFonts w:ascii="Arial" w:hAnsi="Arial" w:cs="Arial"/>
          <w:color w:val="000000" w:themeColor="text1"/>
          <w:sz w:val="20"/>
          <w:szCs w:val="20"/>
          <w:lang w:val="es-ES_tradnl"/>
        </w:rPr>
        <w:t>Por último, en la partida transferencias corrientes en los cuales, no se logró tener un porcentaje mayor de ejecución por contingencias con la aceptación de proyecto que el Instituto Latinoamericano de las Naciones Unidas para la Prevención del Delito y Tratamiento del Delincuente (ILANUD), iba realizar y finalmente no se pudo establecer el convenio para la ejecución del mismo, por ello, se realizaron múltiples esfuerzos por encontrar la organización idónea para la ejecución del proyecto, que finalmente la Fundación Ayúdanos a Ayudar se  ofreció a realizarlo, sin embargo el acuerdo de Consejo Directivo no salió a tiempo para realizar el traslado de los recursos proyectados por un monto de ¢50,00 millones.</w:t>
      </w:r>
    </w:p>
    <w:p w14:paraId="2030A9BD" w14:textId="77777777" w:rsidR="003134C7" w:rsidRPr="002A3F86" w:rsidRDefault="003134C7" w:rsidP="0063648C">
      <w:pPr>
        <w:spacing w:before="240" w:line="360" w:lineRule="auto"/>
        <w:jc w:val="right"/>
        <w:rPr>
          <w:rFonts w:ascii="Arial" w:hAnsi="Arial" w:cs="Arial"/>
          <w:color w:val="000000" w:themeColor="text1"/>
          <w:sz w:val="20"/>
          <w:szCs w:val="20"/>
          <w:lang w:val="es-ES_tradnl"/>
        </w:rPr>
      </w:pPr>
    </w:p>
    <w:p w14:paraId="5C3C95F6" w14:textId="77777777" w:rsidR="00A837A1" w:rsidRPr="002A3F86" w:rsidRDefault="00A837A1" w:rsidP="0063648C">
      <w:pPr>
        <w:pStyle w:val="Ttulo2"/>
        <w:numPr>
          <w:ilvl w:val="0"/>
          <w:numId w:val="0"/>
        </w:numPr>
        <w:spacing w:after="120" w:line="360" w:lineRule="auto"/>
        <w:jc w:val="right"/>
        <w:rPr>
          <w:rFonts w:ascii="Arial" w:hAnsi="Arial" w:cs="Arial"/>
          <w:sz w:val="20"/>
          <w:szCs w:val="20"/>
          <w:lang w:val="es-ES_tradnl"/>
        </w:rPr>
      </w:pPr>
      <w:bookmarkStart w:id="10" w:name="_Toc88819973"/>
      <w:bookmarkStart w:id="11" w:name="_Toc93673235"/>
      <w:bookmarkStart w:id="12" w:name="_Toc25758876"/>
      <w:bookmarkStart w:id="13" w:name="_Toc87963772"/>
      <w:r w:rsidRPr="002A3F86">
        <w:rPr>
          <w:rFonts w:ascii="Arial" w:hAnsi="Arial" w:cs="Arial"/>
          <w:iCs/>
          <w:color w:val="002060"/>
          <w:spacing w:val="15"/>
          <w:sz w:val="20"/>
          <w:szCs w:val="20"/>
        </w:rPr>
        <w:lastRenderedPageBreak/>
        <w:t>2.2</w:t>
      </w:r>
      <w:r w:rsidRPr="002A3F86">
        <w:rPr>
          <w:rFonts w:ascii="Arial" w:hAnsi="Arial" w:cs="Arial"/>
          <w:iCs/>
          <w:color w:val="002060"/>
          <w:spacing w:val="15"/>
          <w:sz w:val="20"/>
          <w:szCs w:val="20"/>
        </w:rPr>
        <w:tab/>
      </w:r>
      <w:r w:rsidRPr="002A3F86">
        <w:rPr>
          <w:rFonts w:ascii="Arial" w:hAnsi="Arial" w:cs="Arial"/>
          <w:iCs/>
          <w:smallCaps w:val="0"/>
          <w:color w:val="002060"/>
          <w:spacing w:val="15"/>
          <w:sz w:val="20"/>
          <w:szCs w:val="20"/>
        </w:rPr>
        <w:t>Factores y acciones correctivas de la ejecución financiera</w:t>
      </w:r>
      <w:bookmarkEnd w:id="10"/>
      <w:bookmarkEnd w:id="11"/>
      <w:r w:rsidRPr="002A3F86">
        <w:rPr>
          <w:rFonts w:ascii="Arial" w:hAnsi="Arial" w:cs="Arial"/>
          <w:iCs/>
          <w:color w:val="002060"/>
          <w:spacing w:val="15"/>
          <w:sz w:val="20"/>
          <w:szCs w:val="20"/>
        </w:rPr>
        <w:t xml:space="preserve"> </w:t>
      </w:r>
      <w:bookmarkEnd w:id="12"/>
      <w:bookmarkEnd w:id="13"/>
    </w:p>
    <w:p w14:paraId="1B51F881" w14:textId="16E7DD41" w:rsidR="00A837A1" w:rsidRPr="002A3F86" w:rsidRDefault="00A837A1" w:rsidP="003C6623">
      <w:pPr>
        <w:spacing w:after="120" w:line="360" w:lineRule="auto"/>
        <w:jc w:val="both"/>
        <w:rPr>
          <w:rFonts w:ascii="Arial" w:hAnsi="Arial" w:cs="Arial"/>
          <w:bCs/>
          <w:color w:val="000000" w:themeColor="text1"/>
          <w:sz w:val="20"/>
          <w:szCs w:val="20"/>
        </w:rPr>
      </w:pPr>
      <w:r w:rsidRPr="002A3F86">
        <w:rPr>
          <w:rFonts w:ascii="Arial" w:hAnsi="Arial" w:cs="Arial"/>
          <w:color w:val="000000" w:themeColor="text1"/>
          <w:sz w:val="20"/>
          <w:szCs w:val="20"/>
        </w:rPr>
        <w:t xml:space="preserve">De acuerdo con los resultados a nivel de centro gestor, </w:t>
      </w:r>
      <w:r w:rsidR="00E9519D" w:rsidRPr="002A3F86">
        <w:rPr>
          <w:rFonts w:ascii="Arial" w:hAnsi="Arial" w:cs="Arial"/>
          <w:color w:val="000000" w:themeColor="text1"/>
          <w:sz w:val="20"/>
          <w:szCs w:val="20"/>
        </w:rPr>
        <w:t xml:space="preserve">se </w:t>
      </w:r>
      <w:r w:rsidRPr="002A3F86">
        <w:rPr>
          <w:rFonts w:ascii="Arial" w:hAnsi="Arial" w:cs="Arial"/>
          <w:color w:val="000000" w:themeColor="text1"/>
          <w:sz w:val="20"/>
          <w:szCs w:val="20"/>
        </w:rPr>
        <w:t>completa</w:t>
      </w:r>
      <w:r w:rsidR="00E9519D" w:rsidRPr="002A3F86">
        <w:rPr>
          <w:rFonts w:ascii="Arial" w:hAnsi="Arial" w:cs="Arial"/>
          <w:color w:val="000000" w:themeColor="text1"/>
          <w:sz w:val="20"/>
          <w:szCs w:val="20"/>
        </w:rPr>
        <w:t xml:space="preserve"> </w:t>
      </w:r>
      <w:r w:rsidRPr="002A3F86">
        <w:rPr>
          <w:rFonts w:ascii="Arial" w:hAnsi="Arial" w:cs="Arial"/>
          <w:color w:val="000000" w:themeColor="text1"/>
          <w:sz w:val="20"/>
          <w:szCs w:val="20"/>
        </w:rPr>
        <w:t xml:space="preserve">la siguiente información de las partidas </w:t>
      </w:r>
      <w:r w:rsidRPr="002A3F86">
        <w:rPr>
          <w:rFonts w:ascii="Arial" w:hAnsi="Arial" w:cs="Arial"/>
          <w:bCs/>
          <w:color w:val="000000" w:themeColor="text1"/>
          <w:sz w:val="20"/>
          <w:szCs w:val="20"/>
        </w:rPr>
        <w:t>que presenten un porcentaje de ejecución presupuestaria inferior al 90,00%, sin considerar el recurso externo</w:t>
      </w:r>
      <w:r w:rsidR="00E9519D" w:rsidRPr="002A3F86">
        <w:rPr>
          <w:rFonts w:ascii="Arial" w:hAnsi="Arial" w:cs="Arial"/>
          <w:color w:val="000000" w:themeColor="text1"/>
          <w:sz w:val="20"/>
          <w:szCs w:val="20"/>
        </w:rPr>
        <w:t>.</w:t>
      </w:r>
    </w:p>
    <w:p w14:paraId="36CDB65D" w14:textId="5D92141B" w:rsidR="00A837A1" w:rsidRPr="002A3F86" w:rsidRDefault="00A837A1" w:rsidP="003C6623">
      <w:pPr>
        <w:spacing w:line="360" w:lineRule="auto"/>
        <w:jc w:val="both"/>
        <w:rPr>
          <w:rFonts w:ascii="Arial" w:hAnsi="Arial" w:cs="Arial"/>
          <w:bCs/>
          <w:color w:val="000000" w:themeColor="text1"/>
          <w:sz w:val="20"/>
          <w:szCs w:val="20"/>
          <w:lang w:val="es-CR"/>
        </w:rPr>
      </w:pPr>
      <w:r w:rsidRPr="002A3F86">
        <w:rPr>
          <w:rFonts w:ascii="Arial" w:hAnsi="Arial" w:cs="Arial"/>
          <w:bCs/>
          <w:color w:val="000000" w:themeColor="text1"/>
          <w:sz w:val="20"/>
          <w:szCs w:val="20"/>
          <w:lang w:val="es-CR"/>
        </w:rPr>
        <w:t xml:space="preserve">Para el llenado del cuadro, </w:t>
      </w:r>
      <w:r w:rsidR="007810B9" w:rsidRPr="002A3F86">
        <w:rPr>
          <w:rFonts w:ascii="Arial" w:hAnsi="Arial" w:cs="Arial"/>
          <w:bCs/>
          <w:color w:val="000000" w:themeColor="text1"/>
          <w:sz w:val="20"/>
          <w:szCs w:val="20"/>
          <w:lang w:val="es-CR"/>
        </w:rPr>
        <w:t xml:space="preserve">se </w:t>
      </w:r>
      <w:r w:rsidRPr="002A3F86">
        <w:rPr>
          <w:rFonts w:ascii="Arial" w:hAnsi="Arial" w:cs="Arial"/>
          <w:bCs/>
          <w:color w:val="000000" w:themeColor="text1"/>
          <w:sz w:val="20"/>
          <w:szCs w:val="20"/>
          <w:lang w:val="es-CR"/>
        </w:rPr>
        <w:t>utili</w:t>
      </w:r>
      <w:r w:rsidR="007810B9" w:rsidRPr="002A3F86">
        <w:rPr>
          <w:rFonts w:ascii="Arial" w:hAnsi="Arial" w:cs="Arial"/>
          <w:bCs/>
          <w:color w:val="000000" w:themeColor="text1"/>
          <w:sz w:val="20"/>
          <w:szCs w:val="20"/>
          <w:lang w:val="es-CR"/>
        </w:rPr>
        <w:t>za</w:t>
      </w:r>
      <w:r w:rsidRPr="002A3F86">
        <w:rPr>
          <w:rFonts w:ascii="Arial" w:hAnsi="Arial" w:cs="Arial"/>
          <w:bCs/>
          <w:color w:val="000000" w:themeColor="text1"/>
          <w:sz w:val="20"/>
          <w:szCs w:val="20"/>
          <w:lang w:val="es-CR"/>
        </w:rPr>
        <w:t xml:space="preserve"> como referencia los siguientes factores</w:t>
      </w:r>
      <w:r w:rsidR="007810B9" w:rsidRPr="002A3F86">
        <w:rPr>
          <w:rFonts w:ascii="Arial" w:hAnsi="Arial" w:cs="Arial"/>
          <w:bCs/>
          <w:color w:val="000000" w:themeColor="text1"/>
          <w:sz w:val="20"/>
          <w:szCs w:val="20"/>
          <w:lang w:val="es-CR"/>
        </w:rPr>
        <w:t>:</w:t>
      </w:r>
    </w:p>
    <w:p w14:paraId="0C771CF7" w14:textId="77777777" w:rsidR="00C2141C" w:rsidRPr="002A3F86" w:rsidRDefault="00C2141C" w:rsidP="003C6623">
      <w:pPr>
        <w:pStyle w:val="NormalWeb"/>
        <w:spacing w:line="360" w:lineRule="auto"/>
        <w:jc w:val="both"/>
        <w:rPr>
          <w:rFonts w:ascii="Arial" w:eastAsiaTheme="minorEastAsia" w:hAnsi="Arial" w:cs="Arial"/>
          <w:bCs/>
          <w:color w:val="000000" w:themeColor="text1"/>
          <w:sz w:val="20"/>
          <w:szCs w:val="20"/>
          <w:lang w:val="es-ES" w:eastAsia="es-ES"/>
        </w:rPr>
      </w:pPr>
      <w:r w:rsidRPr="002A3F86">
        <w:rPr>
          <w:rFonts w:ascii="Arial" w:eastAsiaTheme="minorEastAsia" w:hAnsi="Arial" w:cs="Arial"/>
          <w:bCs/>
          <w:color w:val="000000" w:themeColor="text1"/>
          <w:sz w:val="20"/>
          <w:szCs w:val="20"/>
          <w:lang w:val="es-ES" w:eastAsia="es-ES"/>
        </w:rPr>
        <w:t>1) Impacto generado por la emergencia sanitaria por el Covid-19.</w:t>
      </w:r>
    </w:p>
    <w:p w14:paraId="509EF69D" w14:textId="77777777" w:rsidR="00C2141C" w:rsidRPr="002A3F86" w:rsidRDefault="00C2141C" w:rsidP="003C6623">
      <w:pPr>
        <w:pStyle w:val="NormalWeb"/>
        <w:spacing w:line="360" w:lineRule="auto"/>
        <w:jc w:val="both"/>
        <w:rPr>
          <w:rFonts w:ascii="Arial" w:eastAsiaTheme="minorEastAsia" w:hAnsi="Arial" w:cs="Arial"/>
          <w:bCs/>
          <w:color w:val="000000" w:themeColor="text1"/>
          <w:sz w:val="20"/>
          <w:szCs w:val="20"/>
          <w:lang w:val="es-ES" w:eastAsia="es-ES"/>
        </w:rPr>
      </w:pPr>
      <w:r w:rsidRPr="002A3F86">
        <w:rPr>
          <w:rFonts w:ascii="Arial" w:eastAsiaTheme="minorEastAsia" w:hAnsi="Arial" w:cs="Arial"/>
          <w:bCs/>
          <w:color w:val="000000" w:themeColor="text1"/>
          <w:sz w:val="20"/>
          <w:szCs w:val="20"/>
          <w:lang w:val="es-ES" w:eastAsia="es-ES"/>
        </w:rPr>
        <w:t>2) Aplicación de directrices presidenciales.</w:t>
      </w:r>
    </w:p>
    <w:p w14:paraId="7D67B86D" w14:textId="77777777" w:rsidR="00C2141C" w:rsidRPr="002A3F86" w:rsidRDefault="00C2141C" w:rsidP="003C6623">
      <w:pPr>
        <w:pStyle w:val="NormalWeb"/>
        <w:spacing w:line="360" w:lineRule="auto"/>
        <w:jc w:val="both"/>
        <w:rPr>
          <w:rFonts w:ascii="Arial" w:eastAsiaTheme="minorEastAsia" w:hAnsi="Arial" w:cs="Arial"/>
          <w:bCs/>
          <w:color w:val="000000" w:themeColor="text1"/>
          <w:sz w:val="20"/>
          <w:szCs w:val="20"/>
          <w:lang w:val="es-ES" w:eastAsia="es-ES"/>
        </w:rPr>
      </w:pPr>
      <w:r w:rsidRPr="002A3F86">
        <w:rPr>
          <w:rFonts w:ascii="Arial" w:eastAsiaTheme="minorEastAsia" w:hAnsi="Arial" w:cs="Arial"/>
          <w:bCs/>
          <w:color w:val="000000" w:themeColor="text1"/>
          <w:sz w:val="20"/>
          <w:szCs w:val="20"/>
          <w:lang w:val="es-ES" w:eastAsia="es-ES"/>
        </w:rPr>
        <w:t>3) Lineamientos de los entes rectores de la administración financiera.</w:t>
      </w:r>
    </w:p>
    <w:p w14:paraId="0F1B342C" w14:textId="77777777" w:rsidR="00C2141C" w:rsidRPr="002A3F86" w:rsidRDefault="00C2141C" w:rsidP="003C6623">
      <w:pPr>
        <w:pStyle w:val="NormalWeb"/>
        <w:spacing w:line="360" w:lineRule="auto"/>
        <w:jc w:val="both"/>
        <w:rPr>
          <w:rFonts w:ascii="Arial" w:eastAsiaTheme="minorEastAsia" w:hAnsi="Arial" w:cs="Arial"/>
          <w:bCs/>
          <w:color w:val="000000" w:themeColor="text1"/>
          <w:sz w:val="20"/>
          <w:szCs w:val="20"/>
          <w:lang w:val="es-ES" w:eastAsia="es-ES"/>
        </w:rPr>
      </w:pPr>
      <w:r w:rsidRPr="002A3F86">
        <w:rPr>
          <w:rFonts w:ascii="Arial" w:eastAsiaTheme="minorEastAsia" w:hAnsi="Arial" w:cs="Arial"/>
          <w:bCs/>
          <w:color w:val="000000" w:themeColor="text1"/>
          <w:sz w:val="20"/>
          <w:szCs w:val="20"/>
          <w:lang w:val="es-ES" w:eastAsia="es-ES"/>
        </w:rPr>
        <w:t>4) Políticas administrativas institucionales que ocasionen cambios en la ejecución de recursos y generen ahorros o mayor gasto.</w:t>
      </w:r>
    </w:p>
    <w:p w14:paraId="21AD3827" w14:textId="77777777" w:rsidR="00C2141C" w:rsidRPr="002A3F86" w:rsidRDefault="00C2141C" w:rsidP="003C6623">
      <w:pPr>
        <w:pStyle w:val="NormalWeb"/>
        <w:spacing w:line="360" w:lineRule="auto"/>
        <w:jc w:val="both"/>
        <w:rPr>
          <w:rFonts w:ascii="Arial" w:eastAsiaTheme="minorEastAsia" w:hAnsi="Arial" w:cs="Arial"/>
          <w:bCs/>
          <w:color w:val="000000" w:themeColor="text1"/>
          <w:sz w:val="20"/>
          <w:szCs w:val="20"/>
          <w:lang w:val="es-ES" w:eastAsia="es-ES"/>
        </w:rPr>
      </w:pPr>
      <w:r w:rsidRPr="002A3F86">
        <w:rPr>
          <w:rFonts w:ascii="Arial" w:eastAsiaTheme="minorEastAsia" w:hAnsi="Arial" w:cs="Arial"/>
          <w:bCs/>
          <w:color w:val="000000" w:themeColor="text1"/>
          <w:sz w:val="20"/>
          <w:szCs w:val="20"/>
          <w:lang w:val="es-ES" w:eastAsia="es-ES"/>
        </w:rPr>
        <w:t>5) Variación en la estimación de recursos.</w:t>
      </w:r>
    </w:p>
    <w:p w14:paraId="0D50048A" w14:textId="77777777" w:rsidR="00C2141C" w:rsidRPr="002A3F86" w:rsidRDefault="00C2141C" w:rsidP="003C6623">
      <w:pPr>
        <w:pStyle w:val="NormalWeb"/>
        <w:spacing w:line="360" w:lineRule="auto"/>
        <w:jc w:val="both"/>
        <w:rPr>
          <w:rFonts w:ascii="Arial" w:eastAsiaTheme="minorEastAsia" w:hAnsi="Arial" w:cs="Arial"/>
          <w:bCs/>
          <w:color w:val="000000" w:themeColor="text1"/>
          <w:sz w:val="20"/>
          <w:szCs w:val="20"/>
          <w:lang w:val="es-ES" w:eastAsia="es-ES"/>
        </w:rPr>
      </w:pPr>
      <w:r w:rsidRPr="002A3F86">
        <w:rPr>
          <w:rFonts w:ascii="Arial" w:eastAsiaTheme="minorEastAsia" w:hAnsi="Arial" w:cs="Arial"/>
          <w:bCs/>
          <w:color w:val="000000" w:themeColor="text1"/>
          <w:sz w:val="20"/>
          <w:szCs w:val="20"/>
          <w:lang w:val="es-ES" w:eastAsia="es-ES"/>
        </w:rPr>
        <w:t>6) Problemas relacionados con los procesos de contratación administrativa.</w:t>
      </w:r>
    </w:p>
    <w:p w14:paraId="51CAE9D7" w14:textId="77777777" w:rsidR="00C2141C" w:rsidRPr="002A3F86" w:rsidRDefault="00C2141C" w:rsidP="003C6623">
      <w:pPr>
        <w:pStyle w:val="NormalWeb"/>
        <w:spacing w:line="360" w:lineRule="auto"/>
        <w:jc w:val="both"/>
        <w:rPr>
          <w:rFonts w:ascii="Arial" w:eastAsiaTheme="minorEastAsia" w:hAnsi="Arial" w:cs="Arial"/>
          <w:bCs/>
          <w:color w:val="000000" w:themeColor="text1"/>
          <w:sz w:val="20"/>
          <w:szCs w:val="20"/>
          <w:lang w:val="es-ES" w:eastAsia="es-ES"/>
        </w:rPr>
      </w:pPr>
      <w:r w:rsidRPr="002A3F86">
        <w:rPr>
          <w:rFonts w:ascii="Arial" w:eastAsiaTheme="minorEastAsia" w:hAnsi="Arial" w:cs="Arial"/>
          <w:bCs/>
          <w:color w:val="000000" w:themeColor="text1"/>
          <w:sz w:val="20"/>
          <w:szCs w:val="20"/>
          <w:lang w:val="es-ES" w:eastAsia="es-ES"/>
        </w:rPr>
        <w:t>7) Liberación de cuota insuficiente.</w:t>
      </w:r>
    </w:p>
    <w:p w14:paraId="7079B06C" w14:textId="77777777" w:rsidR="00C2141C" w:rsidRPr="002A3F86" w:rsidRDefault="00C2141C" w:rsidP="003C6623">
      <w:pPr>
        <w:pStyle w:val="NormalWeb"/>
        <w:spacing w:line="360" w:lineRule="auto"/>
        <w:jc w:val="both"/>
        <w:rPr>
          <w:rFonts w:ascii="Arial" w:eastAsiaTheme="minorEastAsia" w:hAnsi="Arial" w:cs="Arial"/>
          <w:bCs/>
          <w:color w:val="000000" w:themeColor="text1"/>
          <w:sz w:val="20"/>
          <w:szCs w:val="20"/>
          <w:lang w:val="es-ES" w:eastAsia="es-ES"/>
        </w:rPr>
      </w:pPr>
      <w:r w:rsidRPr="002A3F86">
        <w:rPr>
          <w:rFonts w:ascii="Arial" w:eastAsiaTheme="minorEastAsia" w:hAnsi="Arial" w:cs="Arial"/>
          <w:bCs/>
          <w:color w:val="000000" w:themeColor="text1"/>
          <w:sz w:val="20"/>
          <w:szCs w:val="20"/>
          <w:lang w:val="es-ES" w:eastAsia="es-ES"/>
        </w:rPr>
        <w:t>8) Desviaciones entre lo planificado y lo ejecutado.</w:t>
      </w:r>
    </w:p>
    <w:p w14:paraId="07721ED7" w14:textId="77777777" w:rsidR="00C2141C" w:rsidRPr="002A3F86" w:rsidRDefault="00C2141C" w:rsidP="003C6623">
      <w:pPr>
        <w:pStyle w:val="NormalWeb"/>
        <w:spacing w:line="360" w:lineRule="auto"/>
        <w:jc w:val="both"/>
        <w:rPr>
          <w:rFonts w:ascii="Arial" w:eastAsiaTheme="minorEastAsia" w:hAnsi="Arial" w:cs="Arial"/>
          <w:bCs/>
          <w:color w:val="000000" w:themeColor="text1"/>
          <w:sz w:val="20"/>
          <w:szCs w:val="20"/>
          <w:lang w:val="es-ES" w:eastAsia="es-ES"/>
        </w:rPr>
      </w:pPr>
      <w:r w:rsidRPr="002A3F86">
        <w:rPr>
          <w:rFonts w:ascii="Arial" w:eastAsiaTheme="minorEastAsia" w:hAnsi="Arial" w:cs="Arial"/>
          <w:bCs/>
          <w:color w:val="000000" w:themeColor="text1"/>
          <w:sz w:val="20"/>
          <w:szCs w:val="20"/>
          <w:lang w:val="es-ES" w:eastAsia="es-ES"/>
        </w:rPr>
        <w:t>9) Normas de ejecución para el ejercicio presupuestario 2021.</w:t>
      </w:r>
    </w:p>
    <w:p w14:paraId="4015DE78" w14:textId="550CABE3" w:rsidR="00C2141C" w:rsidRPr="002A3F86" w:rsidRDefault="00C2141C" w:rsidP="003C6623">
      <w:pPr>
        <w:pStyle w:val="NormalWeb"/>
        <w:spacing w:line="360" w:lineRule="auto"/>
        <w:jc w:val="both"/>
        <w:rPr>
          <w:rFonts w:ascii="Arial" w:eastAsiaTheme="minorEastAsia" w:hAnsi="Arial" w:cs="Arial"/>
          <w:bCs/>
          <w:color w:val="000000" w:themeColor="text1"/>
          <w:sz w:val="20"/>
          <w:szCs w:val="20"/>
          <w:lang w:val="es-ES" w:eastAsia="es-ES"/>
        </w:rPr>
      </w:pPr>
      <w:r w:rsidRPr="002A3F86">
        <w:rPr>
          <w:rFonts w:ascii="Arial" w:eastAsiaTheme="minorEastAsia" w:hAnsi="Arial" w:cs="Arial"/>
          <w:bCs/>
          <w:color w:val="000000" w:themeColor="text1"/>
          <w:sz w:val="20"/>
          <w:szCs w:val="20"/>
          <w:lang w:val="es-ES" w:eastAsia="es-ES"/>
        </w:rPr>
        <w:t>10) Otro (Especifique).</w:t>
      </w:r>
    </w:p>
    <w:p w14:paraId="622B1761" w14:textId="2A2CBE01" w:rsidR="0020443E" w:rsidRPr="002A3F86" w:rsidRDefault="0020443E" w:rsidP="0063648C">
      <w:pPr>
        <w:pStyle w:val="NormalWeb"/>
        <w:spacing w:line="360" w:lineRule="auto"/>
        <w:jc w:val="right"/>
        <w:rPr>
          <w:rFonts w:ascii="Arial" w:eastAsiaTheme="minorEastAsia" w:hAnsi="Arial" w:cs="Arial"/>
          <w:bCs/>
          <w:color w:val="000000" w:themeColor="text1"/>
          <w:sz w:val="20"/>
          <w:szCs w:val="20"/>
          <w:lang w:val="es-ES" w:eastAsia="es-ES"/>
        </w:rPr>
      </w:pPr>
    </w:p>
    <w:p w14:paraId="1181F712" w14:textId="41F024B0" w:rsidR="0020443E" w:rsidRPr="002A3F86" w:rsidRDefault="0020443E" w:rsidP="0063648C">
      <w:pPr>
        <w:pStyle w:val="NormalWeb"/>
        <w:spacing w:line="360" w:lineRule="auto"/>
        <w:jc w:val="right"/>
        <w:rPr>
          <w:rFonts w:ascii="Arial" w:eastAsiaTheme="minorEastAsia" w:hAnsi="Arial" w:cs="Arial"/>
          <w:bCs/>
          <w:color w:val="000000" w:themeColor="text1"/>
          <w:sz w:val="20"/>
          <w:szCs w:val="20"/>
          <w:lang w:val="es-ES" w:eastAsia="es-ES"/>
        </w:rPr>
      </w:pPr>
    </w:p>
    <w:p w14:paraId="34BC41CA" w14:textId="3534B1A8" w:rsidR="0020443E" w:rsidRPr="002A3F86" w:rsidRDefault="0020443E" w:rsidP="0063648C">
      <w:pPr>
        <w:pStyle w:val="NormalWeb"/>
        <w:spacing w:line="360" w:lineRule="auto"/>
        <w:jc w:val="right"/>
        <w:rPr>
          <w:rFonts w:ascii="Arial" w:eastAsiaTheme="minorEastAsia" w:hAnsi="Arial" w:cs="Arial"/>
          <w:bCs/>
          <w:color w:val="000000" w:themeColor="text1"/>
          <w:sz w:val="20"/>
          <w:szCs w:val="20"/>
          <w:lang w:val="es-ES" w:eastAsia="es-ES"/>
        </w:rPr>
      </w:pPr>
    </w:p>
    <w:p w14:paraId="41905A9D" w14:textId="59F1180B" w:rsidR="0020443E" w:rsidRPr="002A3F86" w:rsidRDefault="0020443E" w:rsidP="0063648C">
      <w:pPr>
        <w:pStyle w:val="NormalWeb"/>
        <w:spacing w:line="360" w:lineRule="auto"/>
        <w:jc w:val="right"/>
        <w:rPr>
          <w:rFonts w:ascii="Arial" w:eastAsiaTheme="minorEastAsia" w:hAnsi="Arial" w:cs="Arial"/>
          <w:bCs/>
          <w:color w:val="000000" w:themeColor="text1"/>
          <w:sz w:val="20"/>
          <w:szCs w:val="20"/>
          <w:lang w:val="es-ES" w:eastAsia="es-ES"/>
        </w:rPr>
      </w:pPr>
    </w:p>
    <w:p w14:paraId="11344420" w14:textId="1D264935" w:rsidR="0020443E" w:rsidRPr="002A3F86" w:rsidRDefault="0020443E" w:rsidP="0063648C">
      <w:pPr>
        <w:pStyle w:val="NormalWeb"/>
        <w:spacing w:line="360" w:lineRule="auto"/>
        <w:jc w:val="right"/>
        <w:rPr>
          <w:rFonts w:ascii="Arial" w:eastAsiaTheme="minorEastAsia" w:hAnsi="Arial" w:cs="Arial"/>
          <w:bCs/>
          <w:color w:val="000000" w:themeColor="text1"/>
          <w:sz w:val="20"/>
          <w:szCs w:val="20"/>
          <w:lang w:val="es-ES" w:eastAsia="es-ES"/>
        </w:rPr>
      </w:pPr>
    </w:p>
    <w:p w14:paraId="60D337F7" w14:textId="2216E409" w:rsidR="0020443E" w:rsidRPr="002A3F86" w:rsidRDefault="0020443E" w:rsidP="0063648C">
      <w:pPr>
        <w:pStyle w:val="NormalWeb"/>
        <w:spacing w:line="360" w:lineRule="auto"/>
        <w:jc w:val="right"/>
        <w:rPr>
          <w:rFonts w:ascii="Arial" w:eastAsiaTheme="minorEastAsia" w:hAnsi="Arial" w:cs="Arial"/>
          <w:bCs/>
          <w:color w:val="000000" w:themeColor="text1"/>
          <w:sz w:val="20"/>
          <w:szCs w:val="20"/>
          <w:lang w:val="es-ES" w:eastAsia="es-ES"/>
        </w:rPr>
      </w:pPr>
    </w:p>
    <w:tbl>
      <w:tblPr>
        <w:tblW w:w="8505" w:type="dxa"/>
        <w:tblCellMar>
          <w:left w:w="70" w:type="dxa"/>
          <w:right w:w="70" w:type="dxa"/>
        </w:tblCellMar>
        <w:tblLook w:val="04A0" w:firstRow="1" w:lastRow="0" w:firstColumn="1" w:lastColumn="0" w:noHBand="0" w:noVBand="1"/>
      </w:tblPr>
      <w:tblGrid>
        <w:gridCol w:w="1463"/>
        <w:gridCol w:w="1141"/>
        <w:gridCol w:w="1141"/>
        <w:gridCol w:w="252"/>
        <w:gridCol w:w="256"/>
        <w:gridCol w:w="283"/>
        <w:gridCol w:w="284"/>
        <w:gridCol w:w="283"/>
        <w:gridCol w:w="252"/>
        <w:gridCol w:w="252"/>
        <w:gridCol w:w="252"/>
        <w:gridCol w:w="252"/>
        <w:gridCol w:w="331"/>
        <w:gridCol w:w="32"/>
        <w:gridCol w:w="2031"/>
      </w:tblGrid>
      <w:tr w:rsidR="00B260CE" w:rsidRPr="00B260CE" w14:paraId="3CB57854" w14:textId="77777777" w:rsidTr="000353BD">
        <w:trPr>
          <w:trHeight w:val="300"/>
        </w:trPr>
        <w:tc>
          <w:tcPr>
            <w:tcW w:w="8505" w:type="dxa"/>
            <w:gridSpan w:val="15"/>
            <w:tcBorders>
              <w:top w:val="nil"/>
              <w:left w:val="nil"/>
              <w:bottom w:val="nil"/>
              <w:right w:val="nil"/>
            </w:tcBorders>
            <w:shd w:val="clear" w:color="auto" w:fill="auto"/>
            <w:noWrap/>
            <w:vAlign w:val="center"/>
            <w:hideMark/>
          </w:tcPr>
          <w:p w14:paraId="1F91F01E" w14:textId="10AB6929" w:rsidR="00B260CE" w:rsidRPr="002A3F86" w:rsidRDefault="00B260CE" w:rsidP="00B919D4">
            <w:pPr>
              <w:spacing w:after="0" w:line="240" w:lineRule="auto"/>
              <w:jc w:val="center"/>
              <w:rPr>
                <w:rFonts w:ascii="Arial" w:eastAsia="Times New Roman" w:hAnsi="Arial" w:cs="Arial"/>
                <w:b/>
                <w:bCs/>
                <w:color w:val="000000"/>
                <w:sz w:val="20"/>
                <w:szCs w:val="20"/>
                <w:lang w:val="es-CR" w:eastAsia="es-CR"/>
              </w:rPr>
            </w:pPr>
            <w:r w:rsidRPr="002A3F86">
              <w:rPr>
                <w:rFonts w:ascii="Arial" w:eastAsia="Times New Roman" w:hAnsi="Arial" w:cs="Arial"/>
                <w:b/>
                <w:bCs/>
                <w:color w:val="000000"/>
                <w:sz w:val="20"/>
                <w:szCs w:val="20"/>
                <w:lang w:val="es-CR" w:eastAsia="es-CR"/>
              </w:rPr>
              <w:lastRenderedPageBreak/>
              <w:t>Cuadro 2. Factores que afectan la ejecución financiera</w:t>
            </w:r>
          </w:p>
        </w:tc>
      </w:tr>
      <w:tr w:rsidR="00B260CE" w:rsidRPr="00B260CE" w14:paraId="6616DC36" w14:textId="77777777" w:rsidTr="000353BD">
        <w:trPr>
          <w:trHeight w:val="300"/>
        </w:trPr>
        <w:tc>
          <w:tcPr>
            <w:tcW w:w="8505" w:type="dxa"/>
            <w:gridSpan w:val="15"/>
            <w:tcBorders>
              <w:top w:val="nil"/>
              <w:left w:val="nil"/>
              <w:bottom w:val="nil"/>
              <w:right w:val="nil"/>
            </w:tcBorders>
            <w:shd w:val="clear" w:color="auto" w:fill="auto"/>
            <w:noWrap/>
            <w:vAlign w:val="center"/>
            <w:hideMark/>
          </w:tcPr>
          <w:p w14:paraId="18D608A8" w14:textId="00F75653" w:rsidR="00B260CE" w:rsidRPr="002A3F86" w:rsidRDefault="00B260CE" w:rsidP="00B919D4">
            <w:pPr>
              <w:spacing w:after="0" w:line="240" w:lineRule="auto"/>
              <w:jc w:val="center"/>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043- Instituto Costarricense Sobre Drogas</w:t>
            </w:r>
          </w:p>
        </w:tc>
      </w:tr>
      <w:tr w:rsidR="00B260CE" w:rsidRPr="00B260CE" w14:paraId="3D14BE30" w14:textId="77777777" w:rsidTr="000353BD">
        <w:trPr>
          <w:trHeight w:val="300"/>
        </w:trPr>
        <w:tc>
          <w:tcPr>
            <w:tcW w:w="8505" w:type="dxa"/>
            <w:gridSpan w:val="15"/>
            <w:tcBorders>
              <w:top w:val="nil"/>
              <w:left w:val="nil"/>
              <w:bottom w:val="nil"/>
              <w:right w:val="nil"/>
            </w:tcBorders>
            <w:shd w:val="clear" w:color="auto" w:fill="auto"/>
            <w:noWrap/>
            <w:vAlign w:val="center"/>
            <w:hideMark/>
          </w:tcPr>
          <w:p w14:paraId="160AF2E3" w14:textId="77777777" w:rsidR="00B260CE" w:rsidRPr="002A3F86" w:rsidRDefault="00B260CE" w:rsidP="00B919D4">
            <w:pPr>
              <w:spacing w:after="0" w:line="240" w:lineRule="auto"/>
              <w:jc w:val="center"/>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Factores para resultados inferiores a 90,00% de ejecución</w:t>
            </w:r>
          </w:p>
        </w:tc>
      </w:tr>
      <w:tr w:rsidR="00B260CE" w:rsidRPr="00B260CE" w14:paraId="741790E0" w14:textId="77777777" w:rsidTr="000353BD">
        <w:trPr>
          <w:trHeight w:val="315"/>
        </w:trPr>
        <w:tc>
          <w:tcPr>
            <w:tcW w:w="8505" w:type="dxa"/>
            <w:gridSpan w:val="15"/>
            <w:tcBorders>
              <w:top w:val="nil"/>
              <w:left w:val="nil"/>
              <w:bottom w:val="single" w:sz="8" w:space="0" w:color="4472C4"/>
              <w:right w:val="nil"/>
            </w:tcBorders>
            <w:shd w:val="clear" w:color="auto" w:fill="auto"/>
            <w:noWrap/>
            <w:vAlign w:val="center"/>
            <w:hideMark/>
          </w:tcPr>
          <w:p w14:paraId="5FD11B77" w14:textId="77777777" w:rsidR="00B260CE" w:rsidRPr="002A3F86" w:rsidRDefault="00B260CE" w:rsidP="00B919D4">
            <w:pPr>
              <w:spacing w:after="0" w:line="240" w:lineRule="auto"/>
              <w:jc w:val="center"/>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al 31 de diciembre 2021</w:t>
            </w:r>
          </w:p>
        </w:tc>
      </w:tr>
      <w:tr w:rsidR="00B260CE" w:rsidRPr="00B260CE" w14:paraId="44750CE7" w14:textId="77777777" w:rsidTr="000353BD">
        <w:trPr>
          <w:trHeight w:val="293"/>
        </w:trPr>
        <w:tc>
          <w:tcPr>
            <w:tcW w:w="1463" w:type="dxa"/>
            <w:vMerge w:val="restart"/>
            <w:tcBorders>
              <w:top w:val="nil"/>
              <w:left w:val="single" w:sz="8" w:space="0" w:color="4472C4"/>
              <w:bottom w:val="single" w:sz="8" w:space="0" w:color="4472C4"/>
              <w:right w:val="single" w:sz="8" w:space="0" w:color="4472C4"/>
            </w:tcBorders>
            <w:shd w:val="clear" w:color="000000" w:fill="4F81BD"/>
            <w:vAlign w:val="center"/>
            <w:hideMark/>
          </w:tcPr>
          <w:p w14:paraId="471DC9C0" w14:textId="77777777" w:rsidR="00B260CE" w:rsidRPr="002A3F86" w:rsidRDefault="00B260CE" w:rsidP="0063648C">
            <w:pPr>
              <w:spacing w:after="0" w:line="240" w:lineRule="auto"/>
              <w:jc w:val="right"/>
              <w:rPr>
                <w:rFonts w:ascii="Arial" w:eastAsia="Times New Roman" w:hAnsi="Arial" w:cs="Arial"/>
                <w:b/>
                <w:bCs/>
                <w:color w:val="FFFFFF"/>
                <w:sz w:val="20"/>
                <w:szCs w:val="20"/>
                <w:lang w:val="es-CR" w:eastAsia="es-CR"/>
              </w:rPr>
            </w:pPr>
            <w:r w:rsidRPr="002A3F86">
              <w:rPr>
                <w:rFonts w:ascii="Arial" w:eastAsia="Times New Roman" w:hAnsi="Arial" w:cs="Arial"/>
                <w:b/>
                <w:bCs/>
                <w:color w:val="FFFFFF"/>
                <w:sz w:val="20"/>
                <w:szCs w:val="20"/>
                <w:lang w:val="es-CR" w:eastAsia="es-CR"/>
              </w:rPr>
              <w:t>Nombre de la partida</w:t>
            </w:r>
          </w:p>
        </w:tc>
        <w:tc>
          <w:tcPr>
            <w:tcW w:w="2282" w:type="dxa"/>
            <w:gridSpan w:val="2"/>
            <w:tcBorders>
              <w:top w:val="single" w:sz="8" w:space="0" w:color="4472C4"/>
              <w:left w:val="nil"/>
              <w:bottom w:val="single" w:sz="8" w:space="0" w:color="4472C4"/>
              <w:right w:val="single" w:sz="8" w:space="0" w:color="4472C4"/>
            </w:tcBorders>
            <w:shd w:val="clear" w:color="000000" w:fill="4F81BD"/>
            <w:vAlign w:val="center"/>
            <w:hideMark/>
          </w:tcPr>
          <w:p w14:paraId="5CD1A5A3" w14:textId="77777777" w:rsidR="00B260CE" w:rsidRPr="002A3F86" w:rsidRDefault="00B260CE" w:rsidP="0063648C">
            <w:pPr>
              <w:spacing w:after="0" w:line="240" w:lineRule="auto"/>
              <w:jc w:val="right"/>
              <w:rPr>
                <w:rFonts w:ascii="Arial" w:eastAsia="Times New Roman" w:hAnsi="Arial" w:cs="Arial"/>
                <w:b/>
                <w:bCs/>
                <w:color w:val="FFFFFF"/>
                <w:sz w:val="20"/>
                <w:szCs w:val="20"/>
                <w:lang w:val="es-CR" w:eastAsia="es-CR"/>
              </w:rPr>
            </w:pPr>
            <w:r w:rsidRPr="002A3F86">
              <w:rPr>
                <w:rFonts w:ascii="Arial" w:eastAsia="Times New Roman" w:hAnsi="Arial" w:cs="Arial"/>
                <w:b/>
                <w:bCs/>
                <w:color w:val="FFFFFF"/>
                <w:sz w:val="20"/>
                <w:szCs w:val="20"/>
                <w:lang w:val="es-CR" w:eastAsia="es-CR"/>
              </w:rPr>
              <w:t>Nivel de ejecución</w:t>
            </w:r>
          </w:p>
        </w:tc>
        <w:tc>
          <w:tcPr>
            <w:tcW w:w="4760" w:type="dxa"/>
            <w:gridSpan w:val="12"/>
            <w:tcBorders>
              <w:top w:val="single" w:sz="8" w:space="0" w:color="4472C4"/>
              <w:left w:val="nil"/>
              <w:bottom w:val="single" w:sz="8" w:space="0" w:color="4472C4"/>
              <w:right w:val="single" w:sz="8" w:space="0" w:color="4472C4"/>
            </w:tcBorders>
            <w:shd w:val="clear" w:color="000000" w:fill="4F81BD"/>
            <w:vAlign w:val="center"/>
            <w:hideMark/>
          </w:tcPr>
          <w:p w14:paraId="71CC44B7" w14:textId="77777777" w:rsidR="00B260CE" w:rsidRPr="002A3F86" w:rsidRDefault="00B260CE" w:rsidP="0063648C">
            <w:pPr>
              <w:spacing w:after="0" w:line="240" w:lineRule="auto"/>
              <w:jc w:val="right"/>
              <w:rPr>
                <w:rFonts w:ascii="Arial" w:eastAsia="Times New Roman" w:hAnsi="Arial" w:cs="Arial"/>
                <w:b/>
                <w:bCs/>
                <w:color w:val="FFFFFF"/>
                <w:sz w:val="20"/>
                <w:szCs w:val="20"/>
                <w:lang w:val="es-CR" w:eastAsia="es-CR"/>
              </w:rPr>
            </w:pPr>
            <w:r w:rsidRPr="002A3F86">
              <w:rPr>
                <w:rFonts w:ascii="Arial" w:eastAsia="Times New Roman" w:hAnsi="Arial" w:cs="Arial"/>
                <w:b/>
                <w:bCs/>
                <w:color w:val="FFFFFF"/>
                <w:sz w:val="20"/>
                <w:szCs w:val="20"/>
                <w:lang w:val="es-CR" w:eastAsia="es-CR"/>
              </w:rPr>
              <w:t>Factores al 31/12/2021</w:t>
            </w:r>
          </w:p>
        </w:tc>
      </w:tr>
      <w:tr w:rsidR="0020443E" w:rsidRPr="00B260CE" w14:paraId="28649933" w14:textId="77777777" w:rsidTr="000353BD">
        <w:trPr>
          <w:trHeight w:val="555"/>
        </w:trPr>
        <w:tc>
          <w:tcPr>
            <w:tcW w:w="1463" w:type="dxa"/>
            <w:vMerge/>
            <w:tcBorders>
              <w:top w:val="nil"/>
              <w:left w:val="single" w:sz="8" w:space="0" w:color="4472C4"/>
              <w:bottom w:val="single" w:sz="8" w:space="0" w:color="4472C4"/>
              <w:right w:val="single" w:sz="8" w:space="0" w:color="4472C4"/>
            </w:tcBorders>
            <w:vAlign w:val="center"/>
            <w:hideMark/>
          </w:tcPr>
          <w:p w14:paraId="597CCD76" w14:textId="77777777" w:rsidR="00B260CE" w:rsidRPr="002A3F86" w:rsidRDefault="00B260CE" w:rsidP="0063648C">
            <w:pPr>
              <w:spacing w:after="0" w:line="240" w:lineRule="auto"/>
              <w:jc w:val="right"/>
              <w:rPr>
                <w:rFonts w:ascii="Arial" w:eastAsia="Times New Roman" w:hAnsi="Arial" w:cs="Arial"/>
                <w:b/>
                <w:bCs/>
                <w:color w:val="FFFFFF"/>
                <w:sz w:val="20"/>
                <w:szCs w:val="20"/>
                <w:lang w:val="es-CR" w:eastAsia="es-CR"/>
              </w:rPr>
            </w:pPr>
          </w:p>
        </w:tc>
        <w:tc>
          <w:tcPr>
            <w:tcW w:w="1141" w:type="dxa"/>
            <w:tcBorders>
              <w:top w:val="nil"/>
              <w:left w:val="nil"/>
              <w:bottom w:val="single" w:sz="8" w:space="0" w:color="4472C4"/>
              <w:right w:val="single" w:sz="8" w:space="0" w:color="4472C4"/>
            </w:tcBorders>
            <w:shd w:val="clear" w:color="000000" w:fill="4F81BD"/>
            <w:vAlign w:val="center"/>
            <w:hideMark/>
          </w:tcPr>
          <w:p w14:paraId="23E31604" w14:textId="77777777" w:rsidR="00B260CE" w:rsidRPr="002A3F86" w:rsidRDefault="00B260CE" w:rsidP="0063648C">
            <w:pPr>
              <w:spacing w:after="0" w:line="240" w:lineRule="auto"/>
              <w:jc w:val="right"/>
              <w:rPr>
                <w:rFonts w:ascii="Arial" w:eastAsia="Times New Roman" w:hAnsi="Arial" w:cs="Arial"/>
                <w:b/>
                <w:bCs/>
                <w:color w:val="FFFFFF"/>
                <w:sz w:val="20"/>
                <w:szCs w:val="20"/>
                <w:lang w:val="es-CR" w:eastAsia="es-CR"/>
              </w:rPr>
            </w:pPr>
            <w:r w:rsidRPr="002A3F86">
              <w:rPr>
                <w:rFonts w:ascii="Arial" w:eastAsia="Times New Roman" w:hAnsi="Arial" w:cs="Arial"/>
                <w:b/>
                <w:bCs/>
                <w:color w:val="FFFFFF"/>
                <w:sz w:val="20"/>
                <w:szCs w:val="20"/>
                <w:lang w:val="es-CR" w:eastAsia="es-CR"/>
              </w:rPr>
              <w:t xml:space="preserve">30/06/2021 </w:t>
            </w:r>
            <w:r w:rsidRPr="002A3F86">
              <w:rPr>
                <w:rFonts w:ascii="Arial" w:eastAsia="Times New Roman" w:hAnsi="Arial" w:cs="Arial"/>
                <w:b/>
                <w:bCs/>
                <w:color w:val="FFFFFF"/>
                <w:sz w:val="20"/>
                <w:szCs w:val="20"/>
                <w:vertAlign w:val="superscript"/>
                <w:lang w:val="es-CR" w:eastAsia="es-CR"/>
              </w:rPr>
              <w:t>/1</w:t>
            </w:r>
          </w:p>
        </w:tc>
        <w:tc>
          <w:tcPr>
            <w:tcW w:w="1141" w:type="dxa"/>
            <w:tcBorders>
              <w:top w:val="nil"/>
              <w:left w:val="nil"/>
              <w:bottom w:val="single" w:sz="8" w:space="0" w:color="4472C4"/>
              <w:right w:val="single" w:sz="8" w:space="0" w:color="4472C4"/>
            </w:tcBorders>
            <w:shd w:val="clear" w:color="000000" w:fill="4F81BD"/>
            <w:vAlign w:val="center"/>
            <w:hideMark/>
          </w:tcPr>
          <w:p w14:paraId="59D04B61" w14:textId="77777777" w:rsidR="00B260CE" w:rsidRPr="002A3F86" w:rsidRDefault="00B260CE" w:rsidP="0063648C">
            <w:pPr>
              <w:spacing w:after="0" w:line="240" w:lineRule="auto"/>
              <w:jc w:val="right"/>
              <w:rPr>
                <w:rFonts w:ascii="Arial" w:eastAsia="Times New Roman" w:hAnsi="Arial" w:cs="Arial"/>
                <w:b/>
                <w:bCs/>
                <w:color w:val="FFFFFF"/>
                <w:sz w:val="20"/>
                <w:szCs w:val="20"/>
                <w:lang w:val="es-CR" w:eastAsia="es-CR"/>
              </w:rPr>
            </w:pPr>
            <w:r w:rsidRPr="002A3F86">
              <w:rPr>
                <w:rFonts w:ascii="Arial" w:eastAsia="Times New Roman" w:hAnsi="Arial" w:cs="Arial"/>
                <w:b/>
                <w:bCs/>
                <w:color w:val="FFFFFF"/>
                <w:sz w:val="20"/>
                <w:szCs w:val="20"/>
                <w:lang w:val="es-CR" w:eastAsia="es-CR"/>
              </w:rPr>
              <w:t xml:space="preserve">31/12/2021 </w:t>
            </w:r>
            <w:r w:rsidRPr="002A3F86">
              <w:rPr>
                <w:rFonts w:ascii="Arial" w:eastAsia="Times New Roman" w:hAnsi="Arial" w:cs="Arial"/>
                <w:b/>
                <w:bCs/>
                <w:color w:val="FFFFFF"/>
                <w:sz w:val="20"/>
                <w:szCs w:val="20"/>
                <w:vertAlign w:val="superscript"/>
                <w:lang w:val="es-CR" w:eastAsia="es-CR"/>
              </w:rPr>
              <w:t>/2</w:t>
            </w:r>
          </w:p>
        </w:tc>
        <w:tc>
          <w:tcPr>
            <w:tcW w:w="252" w:type="dxa"/>
            <w:tcBorders>
              <w:top w:val="nil"/>
              <w:left w:val="nil"/>
              <w:bottom w:val="single" w:sz="8" w:space="0" w:color="4472C4"/>
              <w:right w:val="single" w:sz="8" w:space="0" w:color="4472C4"/>
            </w:tcBorders>
            <w:shd w:val="clear" w:color="000000" w:fill="4F81BD"/>
            <w:vAlign w:val="center"/>
            <w:hideMark/>
          </w:tcPr>
          <w:p w14:paraId="26E89D5C" w14:textId="77777777" w:rsidR="00B260CE" w:rsidRPr="002A3F86" w:rsidRDefault="00B260CE" w:rsidP="0063648C">
            <w:pPr>
              <w:spacing w:after="0" w:line="240" w:lineRule="auto"/>
              <w:jc w:val="right"/>
              <w:rPr>
                <w:rFonts w:ascii="Arial" w:eastAsia="Times New Roman" w:hAnsi="Arial" w:cs="Arial"/>
                <w:b/>
                <w:bCs/>
                <w:color w:val="FFFFFF"/>
                <w:sz w:val="20"/>
                <w:szCs w:val="20"/>
                <w:lang w:val="es-CR" w:eastAsia="es-CR"/>
              </w:rPr>
            </w:pPr>
            <w:r w:rsidRPr="002A3F86">
              <w:rPr>
                <w:rFonts w:ascii="Arial" w:eastAsia="Times New Roman" w:hAnsi="Arial" w:cs="Arial"/>
                <w:b/>
                <w:bCs/>
                <w:color w:val="FFFFFF"/>
                <w:sz w:val="20"/>
                <w:szCs w:val="20"/>
                <w:lang w:val="es-CR" w:eastAsia="es-CR"/>
              </w:rPr>
              <w:t>1</w:t>
            </w:r>
          </w:p>
        </w:tc>
        <w:tc>
          <w:tcPr>
            <w:tcW w:w="256" w:type="dxa"/>
            <w:tcBorders>
              <w:top w:val="nil"/>
              <w:left w:val="nil"/>
              <w:bottom w:val="single" w:sz="8" w:space="0" w:color="4472C4"/>
              <w:right w:val="single" w:sz="8" w:space="0" w:color="4472C4"/>
            </w:tcBorders>
            <w:shd w:val="clear" w:color="000000" w:fill="4F81BD"/>
            <w:vAlign w:val="center"/>
            <w:hideMark/>
          </w:tcPr>
          <w:p w14:paraId="44E99316" w14:textId="77777777" w:rsidR="00B260CE" w:rsidRPr="002A3F86" w:rsidRDefault="00B260CE" w:rsidP="0063648C">
            <w:pPr>
              <w:spacing w:after="0" w:line="240" w:lineRule="auto"/>
              <w:jc w:val="right"/>
              <w:rPr>
                <w:rFonts w:ascii="Arial" w:eastAsia="Times New Roman" w:hAnsi="Arial" w:cs="Arial"/>
                <w:b/>
                <w:bCs/>
                <w:color w:val="FFFFFF"/>
                <w:sz w:val="20"/>
                <w:szCs w:val="20"/>
                <w:lang w:val="es-CR" w:eastAsia="es-CR"/>
              </w:rPr>
            </w:pPr>
            <w:r w:rsidRPr="002A3F86">
              <w:rPr>
                <w:rFonts w:ascii="Arial" w:eastAsia="Times New Roman" w:hAnsi="Arial" w:cs="Arial"/>
                <w:b/>
                <w:bCs/>
                <w:color w:val="FFFFFF"/>
                <w:sz w:val="20"/>
                <w:szCs w:val="20"/>
                <w:lang w:val="es-CR" w:eastAsia="es-CR"/>
              </w:rPr>
              <w:t>2</w:t>
            </w:r>
          </w:p>
        </w:tc>
        <w:tc>
          <w:tcPr>
            <w:tcW w:w="283" w:type="dxa"/>
            <w:tcBorders>
              <w:top w:val="nil"/>
              <w:left w:val="nil"/>
              <w:bottom w:val="single" w:sz="8" w:space="0" w:color="4472C4"/>
              <w:right w:val="single" w:sz="8" w:space="0" w:color="4472C4"/>
            </w:tcBorders>
            <w:shd w:val="clear" w:color="000000" w:fill="4F81BD"/>
            <w:vAlign w:val="center"/>
            <w:hideMark/>
          </w:tcPr>
          <w:p w14:paraId="4FBC8377" w14:textId="77777777" w:rsidR="00B260CE" w:rsidRPr="002A3F86" w:rsidRDefault="00B260CE" w:rsidP="0063648C">
            <w:pPr>
              <w:spacing w:after="0" w:line="240" w:lineRule="auto"/>
              <w:jc w:val="right"/>
              <w:rPr>
                <w:rFonts w:ascii="Arial" w:eastAsia="Times New Roman" w:hAnsi="Arial" w:cs="Arial"/>
                <w:b/>
                <w:bCs/>
                <w:color w:val="FFFFFF"/>
                <w:sz w:val="20"/>
                <w:szCs w:val="20"/>
                <w:lang w:val="es-CR" w:eastAsia="es-CR"/>
              </w:rPr>
            </w:pPr>
            <w:r w:rsidRPr="002A3F86">
              <w:rPr>
                <w:rFonts w:ascii="Arial" w:eastAsia="Times New Roman" w:hAnsi="Arial" w:cs="Arial"/>
                <w:b/>
                <w:bCs/>
                <w:color w:val="FFFFFF"/>
                <w:sz w:val="20"/>
                <w:szCs w:val="20"/>
                <w:lang w:val="es-CR" w:eastAsia="es-CR"/>
              </w:rPr>
              <w:t>3</w:t>
            </w:r>
          </w:p>
        </w:tc>
        <w:tc>
          <w:tcPr>
            <w:tcW w:w="284" w:type="dxa"/>
            <w:tcBorders>
              <w:top w:val="nil"/>
              <w:left w:val="nil"/>
              <w:bottom w:val="single" w:sz="8" w:space="0" w:color="4472C4"/>
              <w:right w:val="single" w:sz="8" w:space="0" w:color="4472C4"/>
            </w:tcBorders>
            <w:shd w:val="clear" w:color="000000" w:fill="4F81BD"/>
            <w:vAlign w:val="center"/>
            <w:hideMark/>
          </w:tcPr>
          <w:p w14:paraId="0E0C4938" w14:textId="77777777" w:rsidR="00B260CE" w:rsidRPr="002A3F86" w:rsidRDefault="00B260CE" w:rsidP="0063648C">
            <w:pPr>
              <w:spacing w:after="0" w:line="240" w:lineRule="auto"/>
              <w:jc w:val="right"/>
              <w:rPr>
                <w:rFonts w:ascii="Arial" w:eastAsia="Times New Roman" w:hAnsi="Arial" w:cs="Arial"/>
                <w:b/>
                <w:bCs/>
                <w:color w:val="FFFFFF"/>
                <w:sz w:val="20"/>
                <w:szCs w:val="20"/>
                <w:lang w:val="es-CR" w:eastAsia="es-CR"/>
              </w:rPr>
            </w:pPr>
            <w:r w:rsidRPr="002A3F86">
              <w:rPr>
                <w:rFonts w:ascii="Arial" w:eastAsia="Times New Roman" w:hAnsi="Arial" w:cs="Arial"/>
                <w:b/>
                <w:bCs/>
                <w:color w:val="FFFFFF"/>
                <w:sz w:val="20"/>
                <w:szCs w:val="20"/>
                <w:lang w:val="es-CR" w:eastAsia="es-CR"/>
              </w:rPr>
              <w:t>4</w:t>
            </w:r>
          </w:p>
        </w:tc>
        <w:tc>
          <w:tcPr>
            <w:tcW w:w="283" w:type="dxa"/>
            <w:tcBorders>
              <w:top w:val="nil"/>
              <w:left w:val="nil"/>
              <w:bottom w:val="single" w:sz="8" w:space="0" w:color="4472C4"/>
              <w:right w:val="single" w:sz="8" w:space="0" w:color="4472C4"/>
            </w:tcBorders>
            <w:shd w:val="clear" w:color="000000" w:fill="4F81BD"/>
            <w:vAlign w:val="center"/>
            <w:hideMark/>
          </w:tcPr>
          <w:p w14:paraId="0861ACC8" w14:textId="77777777" w:rsidR="00B260CE" w:rsidRPr="002A3F86" w:rsidRDefault="00B260CE" w:rsidP="0063648C">
            <w:pPr>
              <w:spacing w:after="0" w:line="240" w:lineRule="auto"/>
              <w:jc w:val="right"/>
              <w:rPr>
                <w:rFonts w:ascii="Arial" w:eastAsia="Times New Roman" w:hAnsi="Arial" w:cs="Arial"/>
                <w:b/>
                <w:bCs/>
                <w:color w:val="FFFFFF"/>
                <w:sz w:val="20"/>
                <w:szCs w:val="20"/>
                <w:lang w:val="es-CR" w:eastAsia="es-CR"/>
              </w:rPr>
            </w:pPr>
            <w:r w:rsidRPr="002A3F86">
              <w:rPr>
                <w:rFonts w:ascii="Arial" w:eastAsia="Times New Roman" w:hAnsi="Arial" w:cs="Arial"/>
                <w:b/>
                <w:bCs/>
                <w:color w:val="FFFFFF"/>
                <w:sz w:val="20"/>
                <w:szCs w:val="20"/>
                <w:lang w:val="es-CR" w:eastAsia="es-CR"/>
              </w:rPr>
              <w:t>5</w:t>
            </w:r>
          </w:p>
        </w:tc>
        <w:tc>
          <w:tcPr>
            <w:tcW w:w="252" w:type="dxa"/>
            <w:tcBorders>
              <w:top w:val="nil"/>
              <w:left w:val="nil"/>
              <w:bottom w:val="single" w:sz="8" w:space="0" w:color="4472C4"/>
              <w:right w:val="single" w:sz="8" w:space="0" w:color="4472C4"/>
            </w:tcBorders>
            <w:shd w:val="clear" w:color="000000" w:fill="4F81BD"/>
            <w:vAlign w:val="center"/>
            <w:hideMark/>
          </w:tcPr>
          <w:p w14:paraId="262E3A6B" w14:textId="77777777" w:rsidR="00B260CE" w:rsidRPr="002A3F86" w:rsidRDefault="00B260CE" w:rsidP="0063648C">
            <w:pPr>
              <w:spacing w:after="0" w:line="240" w:lineRule="auto"/>
              <w:jc w:val="right"/>
              <w:rPr>
                <w:rFonts w:ascii="Arial" w:eastAsia="Times New Roman" w:hAnsi="Arial" w:cs="Arial"/>
                <w:b/>
                <w:bCs/>
                <w:color w:val="FFFFFF"/>
                <w:sz w:val="20"/>
                <w:szCs w:val="20"/>
                <w:lang w:val="es-CR" w:eastAsia="es-CR"/>
              </w:rPr>
            </w:pPr>
            <w:r w:rsidRPr="002A3F86">
              <w:rPr>
                <w:rFonts w:ascii="Arial" w:eastAsia="Times New Roman" w:hAnsi="Arial" w:cs="Arial"/>
                <w:b/>
                <w:bCs/>
                <w:color w:val="FFFFFF"/>
                <w:sz w:val="20"/>
                <w:szCs w:val="20"/>
                <w:lang w:val="es-CR" w:eastAsia="es-CR"/>
              </w:rPr>
              <w:t>6</w:t>
            </w:r>
          </w:p>
        </w:tc>
        <w:tc>
          <w:tcPr>
            <w:tcW w:w="252" w:type="dxa"/>
            <w:tcBorders>
              <w:top w:val="nil"/>
              <w:left w:val="nil"/>
              <w:bottom w:val="single" w:sz="8" w:space="0" w:color="4472C4"/>
              <w:right w:val="single" w:sz="8" w:space="0" w:color="4472C4"/>
            </w:tcBorders>
            <w:shd w:val="clear" w:color="000000" w:fill="4F81BD"/>
            <w:vAlign w:val="center"/>
            <w:hideMark/>
          </w:tcPr>
          <w:p w14:paraId="5683D278" w14:textId="77777777" w:rsidR="00B260CE" w:rsidRPr="002A3F86" w:rsidRDefault="00B260CE" w:rsidP="0063648C">
            <w:pPr>
              <w:spacing w:after="0" w:line="240" w:lineRule="auto"/>
              <w:jc w:val="right"/>
              <w:rPr>
                <w:rFonts w:ascii="Arial" w:eastAsia="Times New Roman" w:hAnsi="Arial" w:cs="Arial"/>
                <w:b/>
                <w:bCs/>
                <w:color w:val="FFFFFF"/>
                <w:sz w:val="20"/>
                <w:szCs w:val="20"/>
                <w:lang w:val="es-CR" w:eastAsia="es-CR"/>
              </w:rPr>
            </w:pPr>
            <w:r w:rsidRPr="002A3F86">
              <w:rPr>
                <w:rFonts w:ascii="Arial" w:eastAsia="Times New Roman" w:hAnsi="Arial" w:cs="Arial"/>
                <w:b/>
                <w:bCs/>
                <w:color w:val="FFFFFF"/>
                <w:sz w:val="20"/>
                <w:szCs w:val="20"/>
                <w:lang w:val="es-CR" w:eastAsia="es-CR"/>
              </w:rPr>
              <w:t>7</w:t>
            </w:r>
          </w:p>
        </w:tc>
        <w:tc>
          <w:tcPr>
            <w:tcW w:w="252" w:type="dxa"/>
            <w:tcBorders>
              <w:top w:val="nil"/>
              <w:left w:val="nil"/>
              <w:bottom w:val="single" w:sz="8" w:space="0" w:color="4472C4"/>
              <w:right w:val="single" w:sz="8" w:space="0" w:color="4472C4"/>
            </w:tcBorders>
            <w:shd w:val="clear" w:color="000000" w:fill="4F81BD"/>
            <w:vAlign w:val="center"/>
            <w:hideMark/>
          </w:tcPr>
          <w:p w14:paraId="1A2E16E5" w14:textId="77777777" w:rsidR="00B260CE" w:rsidRPr="002A3F86" w:rsidRDefault="00B260CE" w:rsidP="0063648C">
            <w:pPr>
              <w:spacing w:after="0" w:line="240" w:lineRule="auto"/>
              <w:jc w:val="right"/>
              <w:rPr>
                <w:rFonts w:ascii="Arial" w:eastAsia="Times New Roman" w:hAnsi="Arial" w:cs="Arial"/>
                <w:b/>
                <w:bCs/>
                <w:color w:val="FFFFFF"/>
                <w:sz w:val="20"/>
                <w:szCs w:val="20"/>
                <w:lang w:val="es-CR" w:eastAsia="es-CR"/>
              </w:rPr>
            </w:pPr>
            <w:r w:rsidRPr="002A3F86">
              <w:rPr>
                <w:rFonts w:ascii="Arial" w:eastAsia="Times New Roman" w:hAnsi="Arial" w:cs="Arial"/>
                <w:b/>
                <w:bCs/>
                <w:color w:val="FFFFFF"/>
                <w:sz w:val="20"/>
                <w:szCs w:val="20"/>
                <w:lang w:val="es-CR" w:eastAsia="es-CR"/>
              </w:rPr>
              <w:t>8</w:t>
            </w:r>
          </w:p>
        </w:tc>
        <w:tc>
          <w:tcPr>
            <w:tcW w:w="252" w:type="dxa"/>
            <w:tcBorders>
              <w:top w:val="nil"/>
              <w:left w:val="nil"/>
              <w:bottom w:val="single" w:sz="8" w:space="0" w:color="4472C4"/>
              <w:right w:val="single" w:sz="8" w:space="0" w:color="4472C4"/>
            </w:tcBorders>
            <w:shd w:val="clear" w:color="000000" w:fill="4F81BD"/>
            <w:vAlign w:val="center"/>
            <w:hideMark/>
          </w:tcPr>
          <w:p w14:paraId="753105BC" w14:textId="77777777" w:rsidR="00B260CE" w:rsidRPr="002A3F86" w:rsidRDefault="00B260CE" w:rsidP="0063648C">
            <w:pPr>
              <w:spacing w:after="0" w:line="240" w:lineRule="auto"/>
              <w:jc w:val="right"/>
              <w:rPr>
                <w:rFonts w:ascii="Arial" w:eastAsia="Times New Roman" w:hAnsi="Arial" w:cs="Arial"/>
                <w:b/>
                <w:bCs/>
                <w:color w:val="FFFFFF"/>
                <w:sz w:val="20"/>
                <w:szCs w:val="20"/>
                <w:lang w:val="es-CR" w:eastAsia="es-CR"/>
              </w:rPr>
            </w:pPr>
            <w:r w:rsidRPr="002A3F86">
              <w:rPr>
                <w:rFonts w:ascii="Arial" w:eastAsia="Times New Roman" w:hAnsi="Arial" w:cs="Arial"/>
                <w:b/>
                <w:bCs/>
                <w:color w:val="FFFFFF"/>
                <w:sz w:val="20"/>
                <w:szCs w:val="20"/>
                <w:lang w:val="es-CR" w:eastAsia="es-CR"/>
              </w:rPr>
              <w:t>9</w:t>
            </w:r>
          </w:p>
        </w:tc>
        <w:tc>
          <w:tcPr>
            <w:tcW w:w="363" w:type="dxa"/>
            <w:gridSpan w:val="2"/>
            <w:tcBorders>
              <w:top w:val="nil"/>
              <w:left w:val="nil"/>
              <w:bottom w:val="single" w:sz="8" w:space="0" w:color="4472C4"/>
              <w:right w:val="single" w:sz="8" w:space="0" w:color="4472C4"/>
            </w:tcBorders>
            <w:shd w:val="clear" w:color="000000" w:fill="4F81BD"/>
            <w:vAlign w:val="center"/>
            <w:hideMark/>
          </w:tcPr>
          <w:p w14:paraId="74B6067D" w14:textId="77777777" w:rsidR="00B260CE" w:rsidRPr="002A3F86" w:rsidRDefault="00B260CE" w:rsidP="0063648C">
            <w:pPr>
              <w:spacing w:after="0" w:line="240" w:lineRule="auto"/>
              <w:jc w:val="right"/>
              <w:rPr>
                <w:rFonts w:ascii="Arial" w:eastAsia="Times New Roman" w:hAnsi="Arial" w:cs="Arial"/>
                <w:b/>
                <w:bCs/>
                <w:color w:val="FFFFFF"/>
                <w:sz w:val="20"/>
                <w:szCs w:val="20"/>
                <w:lang w:val="es-CR" w:eastAsia="es-CR"/>
              </w:rPr>
            </w:pPr>
            <w:r w:rsidRPr="002A3F86">
              <w:rPr>
                <w:rFonts w:ascii="Arial" w:eastAsia="Times New Roman" w:hAnsi="Arial" w:cs="Arial"/>
                <w:b/>
                <w:bCs/>
                <w:color w:val="FFFFFF"/>
                <w:sz w:val="20"/>
                <w:szCs w:val="20"/>
                <w:lang w:val="es-CR" w:eastAsia="es-CR"/>
              </w:rPr>
              <w:t>10</w:t>
            </w:r>
          </w:p>
        </w:tc>
        <w:tc>
          <w:tcPr>
            <w:tcW w:w="2031" w:type="dxa"/>
            <w:tcBorders>
              <w:top w:val="nil"/>
              <w:left w:val="nil"/>
              <w:bottom w:val="single" w:sz="8" w:space="0" w:color="4472C4"/>
              <w:right w:val="single" w:sz="8" w:space="0" w:color="4472C4"/>
            </w:tcBorders>
            <w:shd w:val="clear" w:color="000000" w:fill="4F81BD"/>
            <w:vAlign w:val="center"/>
            <w:hideMark/>
          </w:tcPr>
          <w:p w14:paraId="0623D9BB" w14:textId="77777777" w:rsidR="00B260CE" w:rsidRPr="002A3F86" w:rsidRDefault="00B260CE" w:rsidP="0063648C">
            <w:pPr>
              <w:spacing w:after="0" w:line="240" w:lineRule="auto"/>
              <w:jc w:val="right"/>
              <w:rPr>
                <w:rFonts w:ascii="Arial" w:eastAsia="Times New Roman" w:hAnsi="Arial" w:cs="Arial"/>
                <w:b/>
                <w:bCs/>
                <w:color w:val="FFFFFF"/>
                <w:sz w:val="20"/>
                <w:szCs w:val="20"/>
                <w:lang w:val="es-CR" w:eastAsia="es-CR"/>
              </w:rPr>
            </w:pPr>
            <w:r w:rsidRPr="002A3F86">
              <w:rPr>
                <w:rFonts w:ascii="Arial" w:eastAsia="Times New Roman" w:hAnsi="Arial" w:cs="Arial"/>
                <w:b/>
                <w:bCs/>
                <w:color w:val="FFFFFF"/>
                <w:sz w:val="20"/>
                <w:szCs w:val="20"/>
                <w:lang w:val="es-CR" w:eastAsia="es-CR"/>
              </w:rPr>
              <w:t xml:space="preserve">Descripción </w:t>
            </w:r>
            <w:r w:rsidRPr="002A3F86">
              <w:rPr>
                <w:rFonts w:ascii="Arial" w:eastAsia="Times New Roman" w:hAnsi="Arial" w:cs="Arial"/>
                <w:b/>
                <w:bCs/>
                <w:color w:val="FFFFFF"/>
                <w:sz w:val="20"/>
                <w:szCs w:val="20"/>
                <w:vertAlign w:val="superscript"/>
                <w:lang w:val="es-CR" w:eastAsia="es-CR"/>
              </w:rPr>
              <w:t>/3</w:t>
            </w:r>
          </w:p>
        </w:tc>
      </w:tr>
      <w:tr w:rsidR="00B260CE" w:rsidRPr="00B260CE" w14:paraId="70AE459F" w14:textId="77777777" w:rsidTr="000353BD">
        <w:trPr>
          <w:trHeight w:val="338"/>
        </w:trPr>
        <w:tc>
          <w:tcPr>
            <w:tcW w:w="1463" w:type="dxa"/>
            <w:tcBorders>
              <w:top w:val="nil"/>
              <w:left w:val="single" w:sz="8" w:space="0" w:color="4472C4"/>
              <w:bottom w:val="single" w:sz="8" w:space="0" w:color="4472C4"/>
              <w:right w:val="single" w:sz="8" w:space="0" w:color="4472C4"/>
            </w:tcBorders>
            <w:shd w:val="clear" w:color="auto" w:fill="auto"/>
            <w:vAlign w:val="center"/>
            <w:hideMark/>
          </w:tcPr>
          <w:p w14:paraId="36561132"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Servicios</w:t>
            </w:r>
          </w:p>
        </w:tc>
        <w:tc>
          <w:tcPr>
            <w:tcW w:w="1141" w:type="dxa"/>
            <w:tcBorders>
              <w:top w:val="nil"/>
              <w:left w:val="nil"/>
              <w:bottom w:val="single" w:sz="8" w:space="0" w:color="4472C4"/>
              <w:right w:val="single" w:sz="8" w:space="0" w:color="4472C4"/>
            </w:tcBorders>
            <w:shd w:val="clear" w:color="auto" w:fill="auto"/>
            <w:vAlign w:val="center"/>
            <w:hideMark/>
          </w:tcPr>
          <w:p w14:paraId="1EDE7293"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46,41%</w:t>
            </w:r>
          </w:p>
        </w:tc>
        <w:tc>
          <w:tcPr>
            <w:tcW w:w="1141" w:type="dxa"/>
            <w:tcBorders>
              <w:top w:val="nil"/>
              <w:left w:val="nil"/>
              <w:bottom w:val="single" w:sz="8" w:space="0" w:color="4472C4"/>
              <w:right w:val="single" w:sz="8" w:space="0" w:color="4472C4"/>
            </w:tcBorders>
            <w:shd w:val="clear" w:color="auto" w:fill="auto"/>
            <w:vAlign w:val="center"/>
            <w:hideMark/>
          </w:tcPr>
          <w:p w14:paraId="56DE28D9"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85,09%</w:t>
            </w:r>
          </w:p>
        </w:tc>
        <w:tc>
          <w:tcPr>
            <w:tcW w:w="252" w:type="dxa"/>
            <w:tcBorders>
              <w:top w:val="nil"/>
              <w:left w:val="nil"/>
              <w:bottom w:val="single" w:sz="8" w:space="0" w:color="4472C4"/>
              <w:right w:val="single" w:sz="8" w:space="0" w:color="4472C4"/>
            </w:tcBorders>
            <w:shd w:val="clear" w:color="auto" w:fill="auto"/>
            <w:vAlign w:val="center"/>
            <w:hideMark/>
          </w:tcPr>
          <w:p w14:paraId="23D1F68F"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x</w:t>
            </w:r>
          </w:p>
        </w:tc>
        <w:tc>
          <w:tcPr>
            <w:tcW w:w="256" w:type="dxa"/>
            <w:tcBorders>
              <w:top w:val="nil"/>
              <w:left w:val="nil"/>
              <w:bottom w:val="single" w:sz="8" w:space="0" w:color="4472C4"/>
              <w:right w:val="single" w:sz="8" w:space="0" w:color="4472C4"/>
            </w:tcBorders>
            <w:shd w:val="clear" w:color="auto" w:fill="auto"/>
            <w:vAlign w:val="center"/>
            <w:hideMark/>
          </w:tcPr>
          <w:p w14:paraId="48EC8ABD"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 </w:t>
            </w:r>
          </w:p>
        </w:tc>
        <w:tc>
          <w:tcPr>
            <w:tcW w:w="283" w:type="dxa"/>
            <w:tcBorders>
              <w:top w:val="nil"/>
              <w:left w:val="nil"/>
              <w:bottom w:val="single" w:sz="8" w:space="0" w:color="4472C4"/>
              <w:right w:val="single" w:sz="8" w:space="0" w:color="4472C4"/>
            </w:tcBorders>
            <w:shd w:val="clear" w:color="auto" w:fill="auto"/>
            <w:vAlign w:val="center"/>
            <w:hideMark/>
          </w:tcPr>
          <w:p w14:paraId="359356BE"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 </w:t>
            </w:r>
          </w:p>
        </w:tc>
        <w:tc>
          <w:tcPr>
            <w:tcW w:w="284" w:type="dxa"/>
            <w:tcBorders>
              <w:top w:val="nil"/>
              <w:left w:val="nil"/>
              <w:bottom w:val="single" w:sz="8" w:space="0" w:color="4472C4"/>
              <w:right w:val="single" w:sz="8" w:space="0" w:color="4472C4"/>
            </w:tcBorders>
            <w:shd w:val="clear" w:color="auto" w:fill="auto"/>
            <w:vAlign w:val="center"/>
            <w:hideMark/>
          </w:tcPr>
          <w:p w14:paraId="707387F2"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x</w:t>
            </w:r>
          </w:p>
        </w:tc>
        <w:tc>
          <w:tcPr>
            <w:tcW w:w="283" w:type="dxa"/>
            <w:tcBorders>
              <w:top w:val="nil"/>
              <w:left w:val="nil"/>
              <w:bottom w:val="single" w:sz="8" w:space="0" w:color="4472C4"/>
              <w:right w:val="single" w:sz="8" w:space="0" w:color="4472C4"/>
            </w:tcBorders>
            <w:shd w:val="clear" w:color="auto" w:fill="auto"/>
            <w:vAlign w:val="center"/>
            <w:hideMark/>
          </w:tcPr>
          <w:p w14:paraId="1B332F59"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 </w:t>
            </w:r>
          </w:p>
        </w:tc>
        <w:tc>
          <w:tcPr>
            <w:tcW w:w="252" w:type="dxa"/>
            <w:tcBorders>
              <w:top w:val="nil"/>
              <w:left w:val="nil"/>
              <w:bottom w:val="single" w:sz="8" w:space="0" w:color="4472C4"/>
              <w:right w:val="single" w:sz="8" w:space="0" w:color="4472C4"/>
            </w:tcBorders>
            <w:shd w:val="clear" w:color="auto" w:fill="auto"/>
            <w:vAlign w:val="center"/>
            <w:hideMark/>
          </w:tcPr>
          <w:p w14:paraId="15AC3A7B"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x</w:t>
            </w:r>
          </w:p>
        </w:tc>
        <w:tc>
          <w:tcPr>
            <w:tcW w:w="252" w:type="dxa"/>
            <w:tcBorders>
              <w:top w:val="nil"/>
              <w:left w:val="nil"/>
              <w:bottom w:val="single" w:sz="8" w:space="0" w:color="4472C4"/>
              <w:right w:val="single" w:sz="8" w:space="0" w:color="4472C4"/>
            </w:tcBorders>
            <w:shd w:val="clear" w:color="auto" w:fill="auto"/>
            <w:vAlign w:val="center"/>
            <w:hideMark/>
          </w:tcPr>
          <w:p w14:paraId="0B4C4FA9"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 </w:t>
            </w:r>
          </w:p>
        </w:tc>
        <w:tc>
          <w:tcPr>
            <w:tcW w:w="252" w:type="dxa"/>
            <w:tcBorders>
              <w:top w:val="nil"/>
              <w:left w:val="nil"/>
              <w:bottom w:val="single" w:sz="8" w:space="0" w:color="4472C4"/>
              <w:right w:val="single" w:sz="8" w:space="0" w:color="4472C4"/>
            </w:tcBorders>
            <w:shd w:val="clear" w:color="auto" w:fill="auto"/>
            <w:vAlign w:val="center"/>
            <w:hideMark/>
          </w:tcPr>
          <w:p w14:paraId="0998CB1C"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 </w:t>
            </w:r>
          </w:p>
        </w:tc>
        <w:tc>
          <w:tcPr>
            <w:tcW w:w="252" w:type="dxa"/>
            <w:tcBorders>
              <w:top w:val="nil"/>
              <w:left w:val="nil"/>
              <w:bottom w:val="single" w:sz="8" w:space="0" w:color="4472C4"/>
              <w:right w:val="single" w:sz="8" w:space="0" w:color="4472C4"/>
            </w:tcBorders>
            <w:shd w:val="clear" w:color="auto" w:fill="auto"/>
            <w:vAlign w:val="center"/>
            <w:hideMark/>
          </w:tcPr>
          <w:p w14:paraId="45B493F0"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x</w:t>
            </w:r>
          </w:p>
        </w:tc>
        <w:tc>
          <w:tcPr>
            <w:tcW w:w="363" w:type="dxa"/>
            <w:gridSpan w:val="2"/>
            <w:tcBorders>
              <w:top w:val="nil"/>
              <w:left w:val="nil"/>
              <w:bottom w:val="single" w:sz="8" w:space="0" w:color="4472C4"/>
              <w:right w:val="single" w:sz="8" w:space="0" w:color="4472C4"/>
            </w:tcBorders>
            <w:shd w:val="clear" w:color="auto" w:fill="auto"/>
            <w:vAlign w:val="center"/>
            <w:hideMark/>
          </w:tcPr>
          <w:p w14:paraId="3B9C42D1"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 </w:t>
            </w:r>
          </w:p>
        </w:tc>
        <w:tc>
          <w:tcPr>
            <w:tcW w:w="2031" w:type="dxa"/>
            <w:tcBorders>
              <w:top w:val="nil"/>
              <w:left w:val="nil"/>
              <w:bottom w:val="single" w:sz="8" w:space="0" w:color="4472C4"/>
              <w:right w:val="single" w:sz="8" w:space="0" w:color="4472C4"/>
            </w:tcBorders>
            <w:shd w:val="clear" w:color="auto" w:fill="auto"/>
            <w:vAlign w:val="bottom"/>
            <w:hideMark/>
          </w:tcPr>
          <w:p w14:paraId="74BC2397" w14:textId="77777777" w:rsidR="00B260CE" w:rsidRPr="002A3F86" w:rsidRDefault="00B260CE" w:rsidP="00B919D4">
            <w:pPr>
              <w:spacing w:after="0" w:line="240" w:lineRule="auto"/>
              <w:jc w:val="center"/>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Norma 10</w:t>
            </w:r>
          </w:p>
        </w:tc>
      </w:tr>
      <w:tr w:rsidR="00B260CE" w:rsidRPr="00B260CE" w14:paraId="6B597A29" w14:textId="77777777" w:rsidTr="000353BD">
        <w:trPr>
          <w:trHeight w:val="1005"/>
        </w:trPr>
        <w:tc>
          <w:tcPr>
            <w:tcW w:w="1463" w:type="dxa"/>
            <w:tcBorders>
              <w:top w:val="nil"/>
              <w:left w:val="single" w:sz="8" w:space="0" w:color="4472C4"/>
              <w:bottom w:val="single" w:sz="8" w:space="0" w:color="4472C4"/>
              <w:right w:val="single" w:sz="8" w:space="0" w:color="4472C4"/>
            </w:tcBorders>
            <w:shd w:val="clear" w:color="auto" w:fill="auto"/>
            <w:vAlign w:val="center"/>
            <w:hideMark/>
          </w:tcPr>
          <w:p w14:paraId="68B1E902"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Materiales</w:t>
            </w:r>
          </w:p>
        </w:tc>
        <w:tc>
          <w:tcPr>
            <w:tcW w:w="1141" w:type="dxa"/>
            <w:tcBorders>
              <w:top w:val="nil"/>
              <w:left w:val="nil"/>
              <w:bottom w:val="single" w:sz="8" w:space="0" w:color="4472C4"/>
              <w:right w:val="single" w:sz="8" w:space="0" w:color="4472C4"/>
            </w:tcBorders>
            <w:shd w:val="clear" w:color="auto" w:fill="auto"/>
            <w:vAlign w:val="center"/>
            <w:hideMark/>
          </w:tcPr>
          <w:p w14:paraId="0C44E27F"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24,60%</w:t>
            </w:r>
          </w:p>
        </w:tc>
        <w:tc>
          <w:tcPr>
            <w:tcW w:w="1141" w:type="dxa"/>
            <w:tcBorders>
              <w:top w:val="nil"/>
              <w:left w:val="nil"/>
              <w:bottom w:val="single" w:sz="8" w:space="0" w:color="4472C4"/>
              <w:right w:val="single" w:sz="8" w:space="0" w:color="4472C4"/>
            </w:tcBorders>
            <w:shd w:val="clear" w:color="auto" w:fill="auto"/>
            <w:vAlign w:val="center"/>
            <w:hideMark/>
          </w:tcPr>
          <w:p w14:paraId="49B1E3C6"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64,77%</w:t>
            </w:r>
          </w:p>
        </w:tc>
        <w:tc>
          <w:tcPr>
            <w:tcW w:w="252" w:type="dxa"/>
            <w:tcBorders>
              <w:top w:val="nil"/>
              <w:left w:val="nil"/>
              <w:bottom w:val="single" w:sz="8" w:space="0" w:color="4472C4"/>
              <w:right w:val="single" w:sz="8" w:space="0" w:color="4472C4"/>
            </w:tcBorders>
            <w:shd w:val="clear" w:color="auto" w:fill="auto"/>
            <w:vAlign w:val="center"/>
            <w:hideMark/>
          </w:tcPr>
          <w:p w14:paraId="487C0144"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x</w:t>
            </w:r>
          </w:p>
        </w:tc>
        <w:tc>
          <w:tcPr>
            <w:tcW w:w="256" w:type="dxa"/>
            <w:tcBorders>
              <w:top w:val="nil"/>
              <w:left w:val="nil"/>
              <w:bottom w:val="single" w:sz="8" w:space="0" w:color="4472C4"/>
              <w:right w:val="single" w:sz="8" w:space="0" w:color="4472C4"/>
            </w:tcBorders>
            <w:shd w:val="clear" w:color="auto" w:fill="auto"/>
            <w:vAlign w:val="center"/>
            <w:hideMark/>
          </w:tcPr>
          <w:p w14:paraId="58495B7A"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 </w:t>
            </w:r>
          </w:p>
        </w:tc>
        <w:tc>
          <w:tcPr>
            <w:tcW w:w="283" w:type="dxa"/>
            <w:tcBorders>
              <w:top w:val="nil"/>
              <w:left w:val="nil"/>
              <w:bottom w:val="single" w:sz="8" w:space="0" w:color="4472C4"/>
              <w:right w:val="single" w:sz="8" w:space="0" w:color="4472C4"/>
            </w:tcBorders>
            <w:shd w:val="clear" w:color="auto" w:fill="auto"/>
            <w:vAlign w:val="center"/>
            <w:hideMark/>
          </w:tcPr>
          <w:p w14:paraId="114745FE"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 </w:t>
            </w:r>
          </w:p>
        </w:tc>
        <w:tc>
          <w:tcPr>
            <w:tcW w:w="284" w:type="dxa"/>
            <w:tcBorders>
              <w:top w:val="nil"/>
              <w:left w:val="nil"/>
              <w:bottom w:val="single" w:sz="8" w:space="0" w:color="4472C4"/>
              <w:right w:val="single" w:sz="8" w:space="0" w:color="4472C4"/>
            </w:tcBorders>
            <w:shd w:val="clear" w:color="auto" w:fill="auto"/>
            <w:vAlign w:val="center"/>
            <w:hideMark/>
          </w:tcPr>
          <w:p w14:paraId="7654DF9C"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x</w:t>
            </w:r>
          </w:p>
        </w:tc>
        <w:tc>
          <w:tcPr>
            <w:tcW w:w="283" w:type="dxa"/>
            <w:tcBorders>
              <w:top w:val="nil"/>
              <w:left w:val="nil"/>
              <w:bottom w:val="single" w:sz="8" w:space="0" w:color="4472C4"/>
              <w:right w:val="single" w:sz="8" w:space="0" w:color="4472C4"/>
            </w:tcBorders>
            <w:shd w:val="clear" w:color="auto" w:fill="auto"/>
            <w:vAlign w:val="center"/>
            <w:hideMark/>
          </w:tcPr>
          <w:p w14:paraId="311368AC"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 </w:t>
            </w:r>
          </w:p>
        </w:tc>
        <w:tc>
          <w:tcPr>
            <w:tcW w:w="252" w:type="dxa"/>
            <w:tcBorders>
              <w:top w:val="nil"/>
              <w:left w:val="nil"/>
              <w:bottom w:val="single" w:sz="8" w:space="0" w:color="4472C4"/>
              <w:right w:val="single" w:sz="8" w:space="0" w:color="4472C4"/>
            </w:tcBorders>
            <w:shd w:val="clear" w:color="auto" w:fill="auto"/>
            <w:vAlign w:val="center"/>
            <w:hideMark/>
          </w:tcPr>
          <w:p w14:paraId="50A351D8"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x</w:t>
            </w:r>
          </w:p>
        </w:tc>
        <w:tc>
          <w:tcPr>
            <w:tcW w:w="252" w:type="dxa"/>
            <w:tcBorders>
              <w:top w:val="nil"/>
              <w:left w:val="nil"/>
              <w:bottom w:val="single" w:sz="8" w:space="0" w:color="4472C4"/>
              <w:right w:val="single" w:sz="8" w:space="0" w:color="4472C4"/>
            </w:tcBorders>
            <w:shd w:val="clear" w:color="auto" w:fill="auto"/>
            <w:vAlign w:val="center"/>
            <w:hideMark/>
          </w:tcPr>
          <w:p w14:paraId="2487B0A0"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 </w:t>
            </w:r>
          </w:p>
        </w:tc>
        <w:tc>
          <w:tcPr>
            <w:tcW w:w="252" w:type="dxa"/>
            <w:tcBorders>
              <w:top w:val="nil"/>
              <w:left w:val="nil"/>
              <w:bottom w:val="single" w:sz="8" w:space="0" w:color="4472C4"/>
              <w:right w:val="single" w:sz="8" w:space="0" w:color="4472C4"/>
            </w:tcBorders>
            <w:shd w:val="clear" w:color="auto" w:fill="auto"/>
            <w:vAlign w:val="center"/>
            <w:hideMark/>
          </w:tcPr>
          <w:p w14:paraId="048FA5D9"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 </w:t>
            </w:r>
          </w:p>
        </w:tc>
        <w:tc>
          <w:tcPr>
            <w:tcW w:w="252" w:type="dxa"/>
            <w:tcBorders>
              <w:top w:val="nil"/>
              <w:left w:val="nil"/>
              <w:bottom w:val="single" w:sz="8" w:space="0" w:color="4472C4"/>
              <w:right w:val="single" w:sz="8" w:space="0" w:color="4472C4"/>
            </w:tcBorders>
            <w:shd w:val="clear" w:color="auto" w:fill="auto"/>
            <w:vAlign w:val="center"/>
            <w:hideMark/>
          </w:tcPr>
          <w:p w14:paraId="15DA2065" w14:textId="00CF2DB6"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p>
        </w:tc>
        <w:tc>
          <w:tcPr>
            <w:tcW w:w="363" w:type="dxa"/>
            <w:gridSpan w:val="2"/>
            <w:tcBorders>
              <w:top w:val="nil"/>
              <w:left w:val="nil"/>
              <w:bottom w:val="single" w:sz="8" w:space="0" w:color="4472C4"/>
              <w:right w:val="single" w:sz="8" w:space="0" w:color="4472C4"/>
            </w:tcBorders>
            <w:shd w:val="clear" w:color="auto" w:fill="auto"/>
            <w:vAlign w:val="center"/>
            <w:hideMark/>
          </w:tcPr>
          <w:p w14:paraId="6C197CC2"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 </w:t>
            </w:r>
          </w:p>
        </w:tc>
        <w:tc>
          <w:tcPr>
            <w:tcW w:w="2031" w:type="dxa"/>
            <w:tcBorders>
              <w:top w:val="nil"/>
              <w:left w:val="nil"/>
              <w:bottom w:val="single" w:sz="8" w:space="0" w:color="4472C4"/>
              <w:right w:val="single" w:sz="8" w:space="0" w:color="4472C4"/>
            </w:tcBorders>
            <w:shd w:val="clear" w:color="auto" w:fill="auto"/>
            <w:vAlign w:val="bottom"/>
            <w:hideMark/>
          </w:tcPr>
          <w:p w14:paraId="28D415EA" w14:textId="694B1771" w:rsidR="00B260CE" w:rsidRPr="002A3F86" w:rsidRDefault="00B260CE" w:rsidP="00B919D4">
            <w:pPr>
              <w:spacing w:after="0" w:line="240" w:lineRule="auto"/>
              <w:jc w:val="center"/>
              <w:rPr>
                <w:rFonts w:ascii="Arial" w:eastAsia="Times New Roman" w:hAnsi="Arial" w:cs="Arial"/>
                <w:color w:val="000000"/>
                <w:sz w:val="20"/>
                <w:szCs w:val="20"/>
                <w:lang w:val="es-CR" w:eastAsia="es-CR"/>
              </w:rPr>
            </w:pPr>
          </w:p>
        </w:tc>
      </w:tr>
      <w:tr w:rsidR="00B260CE" w:rsidRPr="00B260CE" w14:paraId="7932D96D" w14:textId="77777777" w:rsidTr="000353BD">
        <w:trPr>
          <w:trHeight w:val="960"/>
        </w:trPr>
        <w:tc>
          <w:tcPr>
            <w:tcW w:w="1463" w:type="dxa"/>
            <w:tcBorders>
              <w:top w:val="nil"/>
              <w:left w:val="single" w:sz="8" w:space="0" w:color="4472C4"/>
              <w:bottom w:val="single" w:sz="8" w:space="0" w:color="4472C4"/>
              <w:right w:val="single" w:sz="8" w:space="0" w:color="4472C4"/>
            </w:tcBorders>
            <w:shd w:val="clear" w:color="auto" w:fill="auto"/>
            <w:vAlign w:val="center"/>
            <w:hideMark/>
          </w:tcPr>
          <w:p w14:paraId="62B07406"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Bienes Duraderos</w:t>
            </w:r>
          </w:p>
        </w:tc>
        <w:tc>
          <w:tcPr>
            <w:tcW w:w="1141" w:type="dxa"/>
            <w:tcBorders>
              <w:top w:val="nil"/>
              <w:left w:val="nil"/>
              <w:bottom w:val="single" w:sz="8" w:space="0" w:color="4472C4"/>
              <w:right w:val="single" w:sz="8" w:space="0" w:color="4472C4"/>
            </w:tcBorders>
            <w:shd w:val="clear" w:color="auto" w:fill="auto"/>
            <w:vAlign w:val="center"/>
            <w:hideMark/>
          </w:tcPr>
          <w:p w14:paraId="265FF135"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0,37%</w:t>
            </w:r>
          </w:p>
        </w:tc>
        <w:tc>
          <w:tcPr>
            <w:tcW w:w="1141" w:type="dxa"/>
            <w:tcBorders>
              <w:top w:val="nil"/>
              <w:left w:val="nil"/>
              <w:bottom w:val="single" w:sz="8" w:space="0" w:color="4472C4"/>
              <w:right w:val="single" w:sz="8" w:space="0" w:color="4472C4"/>
            </w:tcBorders>
            <w:shd w:val="clear" w:color="auto" w:fill="auto"/>
            <w:vAlign w:val="center"/>
            <w:hideMark/>
          </w:tcPr>
          <w:p w14:paraId="49B54EBA"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12,47%</w:t>
            </w:r>
          </w:p>
        </w:tc>
        <w:tc>
          <w:tcPr>
            <w:tcW w:w="252" w:type="dxa"/>
            <w:tcBorders>
              <w:top w:val="nil"/>
              <w:left w:val="nil"/>
              <w:bottom w:val="single" w:sz="8" w:space="0" w:color="4472C4"/>
              <w:right w:val="single" w:sz="8" w:space="0" w:color="4472C4"/>
            </w:tcBorders>
            <w:shd w:val="clear" w:color="auto" w:fill="auto"/>
            <w:vAlign w:val="center"/>
            <w:hideMark/>
          </w:tcPr>
          <w:p w14:paraId="4B9A128E"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 </w:t>
            </w:r>
          </w:p>
        </w:tc>
        <w:tc>
          <w:tcPr>
            <w:tcW w:w="256" w:type="dxa"/>
            <w:tcBorders>
              <w:top w:val="nil"/>
              <w:left w:val="nil"/>
              <w:bottom w:val="single" w:sz="8" w:space="0" w:color="4472C4"/>
              <w:right w:val="single" w:sz="8" w:space="0" w:color="4472C4"/>
            </w:tcBorders>
            <w:shd w:val="clear" w:color="auto" w:fill="auto"/>
            <w:vAlign w:val="center"/>
            <w:hideMark/>
          </w:tcPr>
          <w:p w14:paraId="70C6BB62"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 </w:t>
            </w:r>
          </w:p>
        </w:tc>
        <w:tc>
          <w:tcPr>
            <w:tcW w:w="283" w:type="dxa"/>
            <w:tcBorders>
              <w:top w:val="nil"/>
              <w:left w:val="nil"/>
              <w:bottom w:val="single" w:sz="8" w:space="0" w:color="4472C4"/>
              <w:right w:val="single" w:sz="8" w:space="0" w:color="4472C4"/>
            </w:tcBorders>
            <w:shd w:val="clear" w:color="auto" w:fill="auto"/>
            <w:vAlign w:val="center"/>
            <w:hideMark/>
          </w:tcPr>
          <w:p w14:paraId="130F8ABA"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 </w:t>
            </w:r>
          </w:p>
        </w:tc>
        <w:tc>
          <w:tcPr>
            <w:tcW w:w="284" w:type="dxa"/>
            <w:tcBorders>
              <w:top w:val="nil"/>
              <w:left w:val="nil"/>
              <w:bottom w:val="single" w:sz="8" w:space="0" w:color="4472C4"/>
              <w:right w:val="single" w:sz="8" w:space="0" w:color="4472C4"/>
            </w:tcBorders>
            <w:shd w:val="clear" w:color="auto" w:fill="auto"/>
            <w:vAlign w:val="center"/>
            <w:hideMark/>
          </w:tcPr>
          <w:p w14:paraId="5649B93E"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x</w:t>
            </w:r>
          </w:p>
        </w:tc>
        <w:tc>
          <w:tcPr>
            <w:tcW w:w="283" w:type="dxa"/>
            <w:tcBorders>
              <w:top w:val="nil"/>
              <w:left w:val="nil"/>
              <w:bottom w:val="single" w:sz="8" w:space="0" w:color="4472C4"/>
              <w:right w:val="single" w:sz="8" w:space="0" w:color="4472C4"/>
            </w:tcBorders>
            <w:shd w:val="clear" w:color="auto" w:fill="auto"/>
            <w:vAlign w:val="center"/>
            <w:hideMark/>
          </w:tcPr>
          <w:p w14:paraId="655457C9"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x</w:t>
            </w:r>
          </w:p>
        </w:tc>
        <w:tc>
          <w:tcPr>
            <w:tcW w:w="252" w:type="dxa"/>
            <w:tcBorders>
              <w:top w:val="nil"/>
              <w:left w:val="nil"/>
              <w:bottom w:val="single" w:sz="8" w:space="0" w:color="4472C4"/>
              <w:right w:val="single" w:sz="8" w:space="0" w:color="4472C4"/>
            </w:tcBorders>
            <w:shd w:val="clear" w:color="auto" w:fill="auto"/>
            <w:vAlign w:val="center"/>
            <w:hideMark/>
          </w:tcPr>
          <w:p w14:paraId="6FB8B92C"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 </w:t>
            </w:r>
          </w:p>
        </w:tc>
        <w:tc>
          <w:tcPr>
            <w:tcW w:w="252" w:type="dxa"/>
            <w:tcBorders>
              <w:top w:val="nil"/>
              <w:left w:val="nil"/>
              <w:bottom w:val="single" w:sz="8" w:space="0" w:color="4472C4"/>
              <w:right w:val="single" w:sz="8" w:space="0" w:color="4472C4"/>
            </w:tcBorders>
            <w:shd w:val="clear" w:color="auto" w:fill="auto"/>
            <w:vAlign w:val="center"/>
            <w:hideMark/>
          </w:tcPr>
          <w:p w14:paraId="1CA4B031"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 </w:t>
            </w:r>
          </w:p>
        </w:tc>
        <w:tc>
          <w:tcPr>
            <w:tcW w:w="252" w:type="dxa"/>
            <w:tcBorders>
              <w:top w:val="nil"/>
              <w:left w:val="nil"/>
              <w:bottom w:val="single" w:sz="8" w:space="0" w:color="4472C4"/>
              <w:right w:val="single" w:sz="8" w:space="0" w:color="4472C4"/>
            </w:tcBorders>
            <w:shd w:val="clear" w:color="auto" w:fill="auto"/>
            <w:vAlign w:val="center"/>
            <w:hideMark/>
          </w:tcPr>
          <w:p w14:paraId="75080E28"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 </w:t>
            </w:r>
          </w:p>
        </w:tc>
        <w:tc>
          <w:tcPr>
            <w:tcW w:w="252" w:type="dxa"/>
            <w:tcBorders>
              <w:top w:val="nil"/>
              <w:left w:val="nil"/>
              <w:bottom w:val="single" w:sz="8" w:space="0" w:color="4472C4"/>
              <w:right w:val="single" w:sz="8" w:space="0" w:color="4472C4"/>
            </w:tcBorders>
            <w:shd w:val="clear" w:color="auto" w:fill="auto"/>
            <w:vAlign w:val="center"/>
            <w:hideMark/>
          </w:tcPr>
          <w:p w14:paraId="511403E0"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x</w:t>
            </w:r>
          </w:p>
        </w:tc>
        <w:tc>
          <w:tcPr>
            <w:tcW w:w="363" w:type="dxa"/>
            <w:gridSpan w:val="2"/>
            <w:tcBorders>
              <w:top w:val="nil"/>
              <w:left w:val="nil"/>
              <w:bottom w:val="single" w:sz="8" w:space="0" w:color="4472C4"/>
              <w:right w:val="single" w:sz="8" w:space="0" w:color="4472C4"/>
            </w:tcBorders>
            <w:shd w:val="clear" w:color="auto" w:fill="auto"/>
            <w:vAlign w:val="center"/>
            <w:hideMark/>
          </w:tcPr>
          <w:p w14:paraId="07E57F38"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x</w:t>
            </w:r>
          </w:p>
        </w:tc>
        <w:tc>
          <w:tcPr>
            <w:tcW w:w="2031" w:type="dxa"/>
            <w:tcBorders>
              <w:top w:val="nil"/>
              <w:left w:val="nil"/>
              <w:bottom w:val="single" w:sz="8" w:space="0" w:color="4472C4"/>
              <w:right w:val="single" w:sz="8" w:space="0" w:color="4472C4"/>
            </w:tcBorders>
            <w:shd w:val="clear" w:color="auto" w:fill="auto"/>
            <w:vAlign w:val="bottom"/>
            <w:hideMark/>
          </w:tcPr>
          <w:p w14:paraId="4A99A5D7" w14:textId="77777777" w:rsidR="003134C7" w:rsidRPr="002A3F86" w:rsidRDefault="00B260CE" w:rsidP="00B919D4">
            <w:pPr>
              <w:spacing w:after="0" w:line="240" w:lineRule="auto"/>
              <w:jc w:val="center"/>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Norma 20</w:t>
            </w:r>
          </w:p>
          <w:p w14:paraId="0A4E4ED4" w14:textId="4FF8E406" w:rsidR="00B260CE" w:rsidRPr="002A3F86" w:rsidRDefault="00B260CE" w:rsidP="00B919D4">
            <w:pPr>
              <w:spacing w:after="0" w:line="240" w:lineRule="auto"/>
              <w:jc w:val="center"/>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Acuerdos de Consejo Directivo para poder trasladar bienes a otras instituciones.</w:t>
            </w:r>
          </w:p>
        </w:tc>
      </w:tr>
      <w:tr w:rsidR="00B260CE" w:rsidRPr="00B260CE" w14:paraId="6682A4D5" w14:textId="77777777" w:rsidTr="000353BD">
        <w:trPr>
          <w:trHeight w:val="885"/>
        </w:trPr>
        <w:tc>
          <w:tcPr>
            <w:tcW w:w="1463" w:type="dxa"/>
            <w:tcBorders>
              <w:top w:val="nil"/>
              <w:left w:val="single" w:sz="8" w:space="0" w:color="4472C4"/>
              <w:bottom w:val="single" w:sz="8" w:space="0" w:color="4472C4"/>
              <w:right w:val="single" w:sz="8" w:space="0" w:color="4472C4"/>
            </w:tcBorders>
            <w:shd w:val="clear" w:color="auto" w:fill="auto"/>
            <w:vAlign w:val="center"/>
            <w:hideMark/>
          </w:tcPr>
          <w:p w14:paraId="2ECC3691"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Transferencias corrientes</w:t>
            </w:r>
          </w:p>
        </w:tc>
        <w:tc>
          <w:tcPr>
            <w:tcW w:w="1141" w:type="dxa"/>
            <w:tcBorders>
              <w:top w:val="nil"/>
              <w:left w:val="nil"/>
              <w:bottom w:val="single" w:sz="8" w:space="0" w:color="4472C4"/>
              <w:right w:val="single" w:sz="8" w:space="0" w:color="4472C4"/>
            </w:tcBorders>
            <w:shd w:val="clear" w:color="auto" w:fill="auto"/>
            <w:vAlign w:val="center"/>
            <w:hideMark/>
          </w:tcPr>
          <w:p w14:paraId="6B5617D7"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33,68%</w:t>
            </w:r>
          </w:p>
        </w:tc>
        <w:tc>
          <w:tcPr>
            <w:tcW w:w="1141" w:type="dxa"/>
            <w:tcBorders>
              <w:top w:val="nil"/>
              <w:left w:val="nil"/>
              <w:bottom w:val="single" w:sz="8" w:space="0" w:color="4472C4"/>
              <w:right w:val="single" w:sz="8" w:space="0" w:color="4472C4"/>
            </w:tcBorders>
            <w:shd w:val="clear" w:color="auto" w:fill="auto"/>
            <w:vAlign w:val="center"/>
            <w:hideMark/>
          </w:tcPr>
          <w:p w14:paraId="60DD71AA"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87,23%</w:t>
            </w:r>
          </w:p>
        </w:tc>
        <w:tc>
          <w:tcPr>
            <w:tcW w:w="252" w:type="dxa"/>
            <w:tcBorders>
              <w:top w:val="nil"/>
              <w:left w:val="nil"/>
              <w:bottom w:val="single" w:sz="8" w:space="0" w:color="4472C4"/>
              <w:right w:val="single" w:sz="8" w:space="0" w:color="4472C4"/>
            </w:tcBorders>
            <w:shd w:val="clear" w:color="auto" w:fill="auto"/>
            <w:vAlign w:val="center"/>
            <w:hideMark/>
          </w:tcPr>
          <w:p w14:paraId="2A5E6997"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 </w:t>
            </w:r>
          </w:p>
        </w:tc>
        <w:tc>
          <w:tcPr>
            <w:tcW w:w="256" w:type="dxa"/>
            <w:tcBorders>
              <w:top w:val="nil"/>
              <w:left w:val="nil"/>
              <w:bottom w:val="single" w:sz="8" w:space="0" w:color="4472C4"/>
              <w:right w:val="single" w:sz="8" w:space="0" w:color="4472C4"/>
            </w:tcBorders>
            <w:shd w:val="clear" w:color="auto" w:fill="auto"/>
            <w:vAlign w:val="center"/>
            <w:hideMark/>
          </w:tcPr>
          <w:p w14:paraId="03058FBD"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 </w:t>
            </w:r>
          </w:p>
        </w:tc>
        <w:tc>
          <w:tcPr>
            <w:tcW w:w="283" w:type="dxa"/>
            <w:tcBorders>
              <w:top w:val="nil"/>
              <w:left w:val="nil"/>
              <w:bottom w:val="single" w:sz="8" w:space="0" w:color="4472C4"/>
              <w:right w:val="single" w:sz="8" w:space="0" w:color="4472C4"/>
            </w:tcBorders>
            <w:shd w:val="clear" w:color="auto" w:fill="auto"/>
            <w:vAlign w:val="center"/>
            <w:hideMark/>
          </w:tcPr>
          <w:p w14:paraId="0767FCE3"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 </w:t>
            </w:r>
          </w:p>
        </w:tc>
        <w:tc>
          <w:tcPr>
            <w:tcW w:w="284" w:type="dxa"/>
            <w:tcBorders>
              <w:top w:val="nil"/>
              <w:left w:val="nil"/>
              <w:bottom w:val="single" w:sz="8" w:space="0" w:color="4472C4"/>
              <w:right w:val="single" w:sz="8" w:space="0" w:color="4472C4"/>
            </w:tcBorders>
            <w:shd w:val="clear" w:color="auto" w:fill="auto"/>
            <w:vAlign w:val="center"/>
            <w:hideMark/>
          </w:tcPr>
          <w:p w14:paraId="3B5D3EEC"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 </w:t>
            </w:r>
          </w:p>
        </w:tc>
        <w:tc>
          <w:tcPr>
            <w:tcW w:w="283" w:type="dxa"/>
            <w:tcBorders>
              <w:top w:val="nil"/>
              <w:left w:val="nil"/>
              <w:bottom w:val="single" w:sz="8" w:space="0" w:color="4472C4"/>
              <w:right w:val="single" w:sz="8" w:space="0" w:color="4472C4"/>
            </w:tcBorders>
            <w:shd w:val="clear" w:color="auto" w:fill="auto"/>
            <w:vAlign w:val="center"/>
            <w:hideMark/>
          </w:tcPr>
          <w:p w14:paraId="0343C5E3"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 </w:t>
            </w:r>
          </w:p>
        </w:tc>
        <w:tc>
          <w:tcPr>
            <w:tcW w:w="252" w:type="dxa"/>
            <w:tcBorders>
              <w:top w:val="nil"/>
              <w:left w:val="nil"/>
              <w:bottom w:val="single" w:sz="8" w:space="0" w:color="4472C4"/>
              <w:right w:val="single" w:sz="8" w:space="0" w:color="4472C4"/>
            </w:tcBorders>
            <w:shd w:val="clear" w:color="auto" w:fill="auto"/>
            <w:vAlign w:val="center"/>
            <w:hideMark/>
          </w:tcPr>
          <w:p w14:paraId="5A0B37B5"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 </w:t>
            </w:r>
          </w:p>
        </w:tc>
        <w:tc>
          <w:tcPr>
            <w:tcW w:w="252" w:type="dxa"/>
            <w:tcBorders>
              <w:top w:val="nil"/>
              <w:left w:val="nil"/>
              <w:bottom w:val="single" w:sz="8" w:space="0" w:color="4472C4"/>
              <w:right w:val="single" w:sz="8" w:space="0" w:color="4472C4"/>
            </w:tcBorders>
            <w:shd w:val="clear" w:color="auto" w:fill="auto"/>
            <w:vAlign w:val="center"/>
            <w:hideMark/>
          </w:tcPr>
          <w:p w14:paraId="7B64F4F7"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 </w:t>
            </w:r>
          </w:p>
        </w:tc>
        <w:tc>
          <w:tcPr>
            <w:tcW w:w="252" w:type="dxa"/>
            <w:tcBorders>
              <w:top w:val="nil"/>
              <w:left w:val="nil"/>
              <w:bottom w:val="single" w:sz="8" w:space="0" w:color="4472C4"/>
              <w:right w:val="single" w:sz="8" w:space="0" w:color="4472C4"/>
            </w:tcBorders>
            <w:shd w:val="clear" w:color="auto" w:fill="auto"/>
            <w:vAlign w:val="center"/>
            <w:hideMark/>
          </w:tcPr>
          <w:p w14:paraId="6B16B33F"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 </w:t>
            </w:r>
          </w:p>
        </w:tc>
        <w:tc>
          <w:tcPr>
            <w:tcW w:w="252" w:type="dxa"/>
            <w:tcBorders>
              <w:top w:val="nil"/>
              <w:left w:val="nil"/>
              <w:bottom w:val="single" w:sz="8" w:space="0" w:color="4472C4"/>
              <w:right w:val="single" w:sz="8" w:space="0" w:color="4472C4"/>
            </w:tcBorders>
            <w:shd w:val="clear" w:color="auto" w:fill="auto"/>
            <w:vAlign w:val="center"/>
            <w:hideMark/>
          </w:tcPr>
          <w:p w14:paraId="60E75A1E"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 </w:t>
            </w:r>
          </w:p>
        </w:tc>
        <w:tc>
          <w:tcPr>
            <w:tcW w:w="363" w:type="dxa"/>
            <w:gridSpan w:val="2"/>
            <w:tcBorders>
              <w:top w:val="nil"/>
              <w:left w:val="nil"/>
              <w:bottom w:val="single" w:sz="8" w:space="0" w:color="4472C4"/>
              <w:right w:val="single" w:sz="8" w:space="0" w:color="4472C4"/>
            </w:tcBorders>
            <w:shd w:val="clear" w:color="auto" w:fill="auto"/>
            <w:vAlign w:val="center"/>
            <w:hideMark/>
          </w:tcPr>
          <w:p w14:paraId="26790FD6" w14:textId="77777777" w:rsidR="00B260CE" w:rsidRPr="002A3F86" w:rsidRDefault="00B260CE" w:rsidP="0063648C">
            <w:pPr>
              <w:spacing w:after="0" w:line="240" w:lineRule="auto"/>
              <w:jc w:val="right"/>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x</w:t>
            </w:r>
          </w:p>
        </w:tc>
        <w:tc>
          <w:tcPr>
            <w:tcW w:w="2031" w:type="dxa"/>
            <w:tcBorders>
              <w:top w:val="nil"/>
              <w:left w:val="nil"/>
              <w:bottom w:val="single" w:sz="8" w:space="0" w:color="4472C4"/>
              <w:right w:val="single" w:sz="8" w:space="0" w:color="4472C4"/>
            </w:tcBorders>
            <w:shd w:val="clear" w:color="auto" w:fill="auto"/>
            <w:vAlign w:val="bottom"/>
            <w:hideMark/>
          </w:tcPr>
          <w:p w14:paraId="0D613D8B" w14:textId="77777777" w:rsidR="00B260CE" w:rsidRPr="002A3F86" w:rsidRDefault="00B260CE" w:rsidP="00B919D4">
            <w:pPr>
              <w:spacing w:after="0" w:line="240" w:lineRule="auto"/>
              <w:jc w:val="center"/>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Acuerdos de Consejo Directivo para poder trasladar recursos.</w:t>
            </w:r>
          </w:p>
        </w:tc>
      </w:tr>
      <w:tr w:rsidR="00B260CE" w:rsidRPr="00B260CE" w14:paraId="63ED779D" w14:textId="77777777" w:rsidTr="000353BD">
        <w:trPr>
          <w:trHeight w:val="300"/>
        </w:trPr>
        <w:tc>
          <w:tcPr>
            <w:tcW w:w="6442" w:type="dxa"/>
            <w:gridSpan w:val="13"/>
            <w:tcBorders>
              <w:top w:val="nil"/>
              <w:left w:val="nil"/>
              <w:bottom w:val="nil"/>
              <w:right w:val="nil"/>
            </w:tcBorders>
            <w:shd w:val="clear" w:color="auto" w:fill="auto"/>
            <w:noWrap/>
            <w:vAlign w:val="center"/>
            <w:hideMark/>
          </w:tcPr>
          <w:p w14:paraId="3CFA6715" w14:textId="77777777" w:rsidR="00B260CE" w:rsidRPr="00B260CE" w:rsidRDefault="00B260CE" w:rsidP="0063648C">
            <w:pPr>
              <w:spacing w:after="0" w:line="240" w:lineRule="auto"/>
              <w:jc w:val="right"/>
              <w:rPr>
                <w:rFonts w:ascii="Arial" w:eastAsia="Times New Roman" w:hAnsi="Arial" w:cs="Arial"/>
                <w:color w:val="000000"/>
                <w:sz w:val="16"/>
                <w:szCs w:val="16"/>
                <w:lang w:val="es-CR" w:eastAsia="es-CR"/>
              </w:rPr>
            </w:pPr>
            <w:r w:rsidRPr="00B260CE">
              <w:rPr>
                <w:rFonts w:ascii="Arial" w:eastAsia="Times New Roman" w:hAnsi="Arial" w:cs="Arial"/>
                <w:b/>
                <w:bCs/>
                <w:color w:val="000000"/>
                <w:sz w:val="16"/>
                <w:szCs w:val="16"/>
                <w:lang w:val="es-CR" w:eastAsia="es-CR"/>
              </w:rPr>
              <w:t>Fuente</w:t>
            </w:r>
            <w:r w:rsidRPr="00B260CE">
              <w:rPr>
                <w:rFonts w:ascii="Arial" w:eastAsia="Times New Roman" w:hAnsi="Arial" w:cs="Arial"/>
                <w:color w:val="000000"/>
                <w:sz w:val="16"/>
                <w:szCs w:val="16"/>
                <w:lang w:val="es-CR" w:eastAsia="es-CR"/>
              </w:rPr>
              <w:t>: Liquidación facilitada por la DGPN al 31/12/2021 e Informe de Seguimiento Semestral 2021.</w:t>
            </w:r>
          </w:p>
        </w:tc>
        <w:tc>
          <w:tcPr>
            <w:tcW w:w="2063" w:type="dxa"/>
            <w:gridSpan w:val="2"/>
            <w:tcBorders>
              <w:top w:val="nil"/>
              <w:left w:val="nil"/>
              <w:bottom w:val="nil"/>
              <w:right w:val="nil"/>
            </w:tcBorders>
            <w:shd w:val="clear" w:color="auto" w:fill="auto"/>
            <w:noWrap/>
            <w:vAlign w:val="bottom"/>
            <w:hideMark/>
          </w:tcPr>
          <w:p w14:paraId="6D515316" w14:textId="77777777" w:rsidR="00B260CE" w:rsidRPr="00B260CE" w:rsidRDefault="00B260CE" w:rsidP="0063648C">
            <w:pPr>
              <w:spacing w:after="0" w:line="240" w:lineRule="auto"/>
              <w:jc w:val="right"/>
              <w:rPr>
                <w:rFonts w:ascii="Arial" w:eastAsia="Times New Roman" w:hAnsi="Arial" w:cs="Arial"/>
                <w:color w:val="000000"/>
                <w:sz w:val="16"/>
                <w:szCs w:val="16"/>
                <w:lang w:val="es-CR" w:eastAsia="es-CR"/>
              </w:rPr>
            </w:pPr>
          </w:p>
        </w:tc>
      </w:tr>
      <w:tr w:rsidR="00B260CE" w:rsidRPr="00B260CE" w14:paraId="3528DB52" w14:textId="77777777" w:rsidTr="000353BD">
        <w:trPr>
          <w:trHeight w:val="300"/>
        </w:trPr>
        <w:tc>
          <w:tcPr>
            <w:tcW w:w="6442" w:type="dxa"/>
            <w:gridSpan w:val="13"/>
            <w:tcBorders>
              <w:top w:val="nil"/>
              <w:left w:val="nil"/>
              <w:bottom w:val="nil"/>
              <w:right w:val="nil"/>
            </w:tcBorders>
            <w:shd w:val="clear" w:color="auto" w:fill="auto"/>
            <w:noWrap/>
            <w:vAlign w:val="center"/>
            <w:hideMark/>
          </w:tcPr>
          <w:p w14:paraId="2812AF5B" w14:textId="77777777" w:rsidR="00B260CE" w:rsidRPr="00B260CE" w:rsidRDefault="00B260CE" w:rsidP="00B919D4">
            <w:pPr>
              <w:spacing w:after="0" w:line="240" w:lineRule="auto"/>
              <w:rPr>
                <w:rFonts w:ascii="Arial" w:eastAsia="Times New Roman" w:hAnsi="Arial" w:cs="Arial"/>
                <w:color w:val="000000"/>
                <w:sz w:val="14"/>
                <w:szCs w:val="14"/>
                <w:lang w:val="es-CR" w:eastAsia="es-CR"/>
              </w:rPr>
            </w:pPr>
            <w:r w:rsidRPr="00B260CE">
              <w:rPr>
                <w:rFonts w:ascii="Arial" w:eastAsia="Times New Roman" w:hAnsi="Arial" w:cs="Arial"/>
                <w:color w:val="000000"/>
                <w:sz w:val="14"/>
                <w:szCs w:val="14"/>
                <w:lang w:val="es-CR" w:eastAsia="es-CR"/>
              </w:rPr>
              <w:t xml:space="preserve">/1 Esta información se obtiene del informe semestral. </w:t>
            </w:r>
          </w:p>
        </w:tc>
        <w:tc>
          <w:tcPr>
            <w:tcW w:w="2063" w:type="dxa"/>
            <w:gridSpan w:val="2"/>
            <w:tcBorders>
              <w:top w:val="nil"/>
              <w:left w:val="nil"/>
              <w:bottom w:val="nil"/>
              <w:right w:val="nil"/>
            </w:tcBorders>
            <w:shd w:val="clear" w:color="auto" w:fill="auto"/>
            <w:noWrap/>
            <w:vAlign w:val="bottom"/>
            <w:hideMark/>
          </w:tcPr>
          <w:p w14:paraId="6FDE106B" w14:textId="77777777" w:rsidR="00B260CE" w:rsidRPr="00B260CE" w:rsidRDefault="00B260CE" w:rsidP="0063648C">
            <w:pPr>
              <w:spacing w:after="0" w:line="240" w:lineRule="auto"/>
              <w:jc w:val="right"/>
              <w:rPr>
                <w:rFonts w:ascii="Arial" w:eastAsia="Times New Roman" w:hAnsi="Arial" w:cs="Arial"/>
                <w:color w:val="000000"/>
                <w:sz w:val="14"/>
                <w:szCs w:val="14"/>
                <w:lang w:val="es-CR" w:eastAsia="es-CR"/>
              </w:rPr>
            </w:pPr>
          </w:p>
        </w:tc>
      </w:tr>
      <w:tr w:rsidR="00B260CE" w:rsidRPr="00B260CE" w14:paraId="697120F1" w14:textId="77777777" w:rsidTr="000353BD">
        <w:trPr>
          <w:trHeight w:val="300"/>
        </w:trPr>
        <w:tc>
          <w:tcPr>
            <w:tcW w:w="6442" w:type="dxa"/>
            <w:gridSpan w:val="13"/>
            <w:tcBorders>
              <w:top w:val="nil"/>
              <w:left w:val="nil"/>
              <w:bottom w:val="nil"/>
              <w:right w:val="nil"/>
            </w:tcBorders>
            <w:shd w:val="clear" w:color="auto" w:fill="auto"/>
            <w:noWrap/>
            <w:vAlign w:val="center"/>
            <w:hideMark/>
          </w:tcPr>
          <w:p w14:paraId="7B72BBC4" w14:textId="77777777" w:rsidR="00B260CE" w:rsidRPr="00B260CE" w:rsidRDefault="00B260CE" w:rsidP="00B919D4">
            <w:pPr>
              <w:spacing w:after="0" w:line="240" w:lineRule="auto"/>
              <w:rPr>
                <w:rFonts w:ascii="Arial" w:eastAsia="Times New Roman" w:hAnsi="Arial" w:cs="Arial"/>
                <w:color w:val="000000"/>
                <w:sz w:val="14"/>
                <w:szCs w:val="14"/>
                <w:lang w:val="es-CR" w:eastAsia="es-CR"/>
              </w:rPr>
            </w:pPr>
            <w:r w:rsidRPr="00B260CE">
              <w:rPr>
                <w:rFonts w:ascii="Arial" w:eastAsia="Times New Roman" w:hAnsi="Arial" w:cs="Arial"/>
                <w:color w:val="000000"/>
                <w:sz w:val="14"/>
                <w:szCs w:val="14"/>
                <w:lang w:val="es-CR" w:eastAsia="es-CR"/>
              </w:rPr>
              <w:t>/2 Esta información se obtiene del archivo Excel remitido por la DGPN, de la hoja “Liquidación”.</w:t>
            </w:r>
          </w:p>
        </w:tc>
        <w:tc>
          <w:tcPr>
            <w:tcW w:w="2063" w:type="dxa"/>
            <w:gridSpan w:val="2"/>
            <w:tcBorders>
              <w:top w:val="nil"/>
              <w:left w:val="nil"/>
              <w:bottom w:val="nil"/>
              <w:right w:val="nil"/>
            </w:tcBorders>
            <w:shd w:val="clear" w:color="auto" w:fill="auto"/>
            <w:noWrap/>
            <w:vAlign w:val="bottom"/>
            <w:hideMark/>
          </w:tcPr>
          <w:p w14:paraId="7B9A4C61" w14:textId="77777777" w:rsidR="00B260CE" w:rsidRPr="00B260CE" w:rsidRDefault="00B260CE" w:rsidP="0063648C">
            <w:pPr>
              <w:spacing w:after="0" w:line="240" w:lineRule="auto"/>
              <w:jc w:val="right"/>
              <w:rPr>
                <w:rFonts w:ascii="Arial" w:eastAsia="Times New Roman" w:hAnsi="Arial" w:cs="Arial"/>
                <w:color w:val="000000"/>
                <w:sz w:val="14"/>
                <w:szCs w:val="14"/>
                <w:lang w:val="es-CR" w:eastAsia="es-CR"/>
              </w:rPr>
            </w:pPr>
          </w:p>
        </w:tc>
      </w:tr>
      <w:tr w:rsidR="00B260CE" w:rsidRPr="00B260CE" w14:paraId="1777F344" w14:textId="77777777" w:rsidTr="000353BD">
        <w:trPr>
          <w:trHeight w:val="300"/>
        </w:trPr>
        <w:tc>
          <w:tcPr>
            <w:tcW w:w="3745" w:type="dxa"/>
            <w:gridSpan w:val="3"/>
            <w:tcBorders>
              <w:top w:val="nil"/>
              <w:left w:val="nil"/>
              <w:bottom w:val="nil"/>
              <w:right w:val="nil"/>
            </w:tcBorders>
            <w:shd w:val="clear" w:color="auto" w:fill="auto"/>
            <w:noWrap/>
            <w:vAlign w:val="bottom"/>
            <w:hideMark/>
          </w:tcPr>
          <w:p w14:paraId="3409B98F" w14:textId="77777777" w:rsidR="00B260CE" w:rsidRPr="00B260CE" w:rsidRDefault="00B260CE" w:rsidP="00B919D4">
            <w:pPr>
              <w:spacing w:after="0" w:line="240" w:lineRule="auto"/>
              <w:rPr>
                <w:rFonts w:ascii="Arial" w:eastAsia="Times New Roman" w:hAnsi="Arial" w:cs="Arial"/>
                <w:color w:val="000000"/>
                <w:sz w:val="16"/>
                <w:szCs w:val="16"/>
                <w:lang w:val="es-CR" w:eastAsia="es-CR"/>
              </w:rPr>
            </w:pPr>
            <w:r w:rsidRPr="00B260CE">
              <w:rPr>
                <w:rFonts w:ascii="Arial" w:eastAsia="Times New Roman" w:hAnsi="Arial" w:cs="Arial"/>
                <w:color w:val="000000"/>
                <w:sz w:val="16"/>
                <w:szCs w:val="16"/>
                <w:lang w:val="es-CR" w:eastAsia="es-CR"/>
              </w:rPr>
              <w:t>/3 Indicar directriz, norma o descripción del factor “Otros”. </w:t>
            </w:r>
          </w:p>
        </w:tc>
        <w:tc>
          <w:tcPr>
            <w:tcW w:w="252" w:type="dxa"/>
            <w:tcBorders>
              <w:top w:val="nil"/>
              <w:left w:val="nil"/>
              <w:bottom w:val="nil"/>
              <w:right w:val="nil"/>
            </w:tcBorders>
            <w:shd w:val="clear" w:color="auto" w:fill="auto"/>
            <w:noWrap/>
            <w:vAlign w:val="bottom"/>
            <w:hideMark/>
          </w:tcPr>
          <w:p w14:paraId="74206E06" w14:textId="77777777" w:rsidR="00B260CE" w:rsidRPr="00B260CE" w:rsidRDefault="00B260CE" w:rsidP="00B919D4">
            <w:pPr>
              <w:spacing w:after="0" w:line="240" w:lineRule="auto"/>
              <w:rPr>
                <w:rFonts w:ascii="Arial" w:eastAsia="Times New Roman" w:hAnsi="Arial" w:cs="Arial"/>
                <w:color w:val="000000"/>
                <w:sz w:val="16"/>
                <w:szCs w:val="16"/>
                <w:lang w:val="es-CR" w:eastAsia="es-CR"/>
              </w:rPr>
            </w:pPr>
          </w:p>
        </w:tc>
        <w:tc>
          <w:tcPr>
            <w:tcW w:w="256" w:type="dxa"/>
            <w:tcBorders>
              <w:top w:val="nil"/>
              <w:left w:val="nil"/>
              <w:bottom w:val="nil"/>
              <w:right w:val="nil"/>
            </w:tcBorders>
            <w:shd w:val="clear" w:color="auto" w:fill="auto"/>
            <w:noWrap/>
            <w:vAlign w:val="bottom"/>
            <w:hideMark/>
          </w:tcPr>
          <w:p w14:paraId="1B29DC89" w14:textId="77777777" w:rsidR="00B260CE" w:rsidRPr="00B260CE" w:rsidRDefault="00B260CE" w:rsidP="00B919D4">
            <w:pPr>
              <w:spacing w:after="0" w:line="240" w:lineRule="auto"/>
              <w:rPr>
                <w:rFonts w:ascii="Times New Roman" w:eastAsia="Times New Roman" w:hAnsi="Times New Roman" w:cs="Times New Roman"/>
                <w:sz w:val="20"/>
                <w:szCs w:val="20"/>
                <w:lang w:val="es-CR" w:eastAsia="es-CR"/>
              </w:rPr>
            </w:pPr>
          </w:p>
        </w:tc>
        <w:tc>
          <w:tcPr>
            <w:tcW w:w="283" w:type="dxa"/>
            <w:tcBorders>
              <w:top w:val="nil"/>
              <w:left w:val="nil"/>
              <w:bottom w:val="nil"/>
              <w:right w:val="nil"/>
            </w:tcBorders>
            <w:shd w:val="clear" w:color="auto" w:fill="auto"/>
            <w:noWrap/>
            <w:vAlign w:val="bottom"/>
            <w:hideMark/>
          </w:tcPr>
          <w:p w14:paraId="2FFE2D17" w14:textId="77777777" w:rsidR="00B260CE" w:rsidRPr="00B260CE" w:rsidRDefault="00B260CE" w:rsidP="00B919D4">
            <w:pPr>
              <w:spacing w:after="0" w:line="240" w:lineRule="auto"/>
              <w:rPr>
                <w:rFonts w:ascii="Times New Roman" w:eastAsia="Times New Roman" w:hAnsi="Times New Roman" w:cs="Times New Roman"/>
                <w:sz w:val="20"/>
                <w:szCs w:val="20"/>
                <w:lang w:val="es-CR" w:eastAsia="es-CR"/>
              </w:rPr>
            </w:pPr>
          </w:p>
        </w:tc>
        <w:tc>
          <w:tcPr>
            <w:tcW w:w="284" w:type="dxa"/>
            <w:tcBorders>
              <w:top w:val="nil"/>
              <w:left w:val="nil"/>
              <w:bottom w:val="nil"/>
              <w:right w:val="nil"/>
            </w:tcBorders>
            <w:shd w:val="clear" w:color="auto" w:fill="auto"/>
            <w:noWrap/>
            <w:vAlign w:val="bottom"/>
            <w:hideMark/>
          </w:tcPr>
          <w:p w14:paraId="4514A379" w14:textId="77777777" w:rsidR="00B260CE" w:rsidRPr="00B260CE" w:rsidRDefault="00B260CE" w:rsidP="00B919D4">
            <w:pPr>
              <w:spacing w:after="0" w:line="240" w:lineRule="auto"/>
              <w:rPr>
                <w:rFonts w:ascii="Times New Roman" w:eastAsia="Times New Roman" w:hAnsi="Times New Roman" w:cs="Times New Roman"/>
                <w:sz w:val="20"/>
                <w:szCs w:val="20"/>
                <w:lang w:val="es-CR" w:eastAsia="es-CR"/>
              </w:rPr>
            </w:pPr>
          </w:p>
        </w:tc>
        <w:tc>
          <w:tcPr>
            <w:tcW w:w="283" w:type="dxa"/>
            <w:tcBorders>
              <w:top w:val="nil"/>
              <w:left w:val="nil"/>
              <w:bottom w:val="nil"/>
              <w:right w:val="nil"/>
            </w:tcBorders>
            <w:shd w:val="clear" w:color="auto" w:fill="auto"/>
            <w:noWrap/>
            <w:vAlign w:val="bottom"/>
            <w:hideMark/>
          </w:tcPr>
          <w:p w14:paraId="43D023CF" w14:textId="77777777" w:rsidR="00B260CE" w:rsidRPr="00B260CE" w:rsidRDefault="00B260CE" w:rsidP="0063648C">
            <w:pPr>
              <w:spacing w:after="0" w:line="240" w:lineRule="auto"/>
              <w:jc w:val="right"/>
              <w:rPr>
                <w:rFonts w:ascii="Times New Roman" w:eastAsia="Times New Roman" w:hAnsi="Times New Roman" w:cs="Times New Roman"/>
                <w:sz w:val="20"/>
                <w:szCs w:val="20"/>
                <w:lang w:val="es-CR" w:eastAsia="es-CR"/>
              </w:rPr>
            </w:pPr>
          </w:p>
        </w:tc>
        <w:tc>
          <w:tcPr>
            <w:tcW w:w="252" w:type="dxa"/>
            <w:tcBorders>
              <w:top w:val="nil"/>
              <w:left w:val="nil"/>
              <w:bottom w:val="nil"/>
              <w:right w:val="nil"/>
            </w:tcBorders>
            <w:shd w:val="clear" w:color="auto" w:fill="auto"/>
            <w:noWrap/>
            <w:vAlign w:val="bottom"/>
            <w:hideMark/>
          </w:tcPr>
          <w:p w14:paraId="22FAA7A6" w14:textId="77777777" w:rsidR="00B260CE" w:rsidRPr="00B260CE" w:rsidRDefault="00B260CE" w:rsidP="0063648C">
            <w:pPr>
              <w:spacing w:after="0" w:line="240" w:lineRule="auto"/>
              <w:jc w:val="right"/>
              <w:rPr>
                <w:rFonts w:ascii="Times New Roman" w:eastAsia="Times New Roman" w:hAnsi="Times New Roman" w:cs="Times New Roman"/>
                <w:sz w:val="20"/>
                <w:szCs w:val="20"/>
                <w:lang w:val="es-CR" w:eastAsia="es-CR"/>
              </w:rPr>
            </w:pPr>
          </w:p>
        </w:tc>
        <w:tc>
          <w:tcPr>
            <w:tcW w:w="252" w:type="dxa"/>
            <w:tcBorders>
              <w:top w:val="nil"/>
              <w:left w:val="nil"/>
              <w:bottom w:val="nil"/>
              <w:right w:val="nil"/>
            </w:tcBorders>
            <w:shd w:val="clear" w:color="auto" w:fill="auto"/>
            <w:noWrap/>
            <w:vAlign w:val="bottom"/>
            <w:hideMark/>
          </w:tcPr>
          <w:p w14:paraId="04FE50EB" w14:textId="77777777" w:rsidR="00B260CE" w:rsidRPr="00B260CE" w:rsidRDefault="00B260CE" w:rsidP="0063648C">
            <w:pPr>
              <w:spacing w:after="0" w:line="240" w:lineRule="auto"/>
              <w:jc w:val="right"/>
              <w:rPr>
                <w:rFonts w:ascii="Times New Roman" w:eastAsia="Times New Roman" w:hAnsi="Times New Roman" w:cs="Times New Roman"/>
                <w:sz w:val="20"/>
                <w:szCs w:val="20"/>
                <w:lang w:val="es-CR" w:eastAsia="es-CR"/>
              </w:rPr>
            </w:pPr>
          </w:p>
        </w:tc>
        <w:tc>
          <w:tcPr>
            <w:tcW w:w="252" w:type="dxa"/>
            <w:tcBorders>
              <w:top w:val="nil"/>
              <w:left w:val="nil"/>
              <w:bottom w:val="nil"/>
              <w:right w:val="nil"/>
            </w:tcBorders>
            <w:shd w:val="clear" w:color="auto" w:fill="auto"/>
            <w:noWrap/>
            <w:vAlign w:val="bottom"/>
            <w:hideMark/>
          </w:tcPr>
          <w:p w14:paraId="2B72F108" w14:textId="77777777" w:rsidR="00B260CE" w:rsidRPr="00B260CE" w:rsidRDefault="00B260CE" w:rsidP="0063648C">
            <w:pPr>
              <w:spacing w:after="0" w:line="240" w:lineRule="auto"/>
              <w:jc w:val="right"/>
              <w:rPr>
                <w:rFonts w:ascii="Times New Roman" w:eastAsia="Times New Roman" w:hAnsi="Times New Roman" w:cs="Times New Roman"/>
                <w:sz w:val="20"/>
                <w:szCs w:val="20"/>
                <w:lang w:val="es-CR" w:eastAsia="es-CR"/>
              </w:rPr>
            </w:pPr>
          </w:p>
        </w:tc>
        <w:tc>
          <w:tcPr>
            <w:tcW w:w="252" w:type="dxa"/>
            <w:tcBorders>
              <w:top w:val="nil"/>
              <w:left w:val="nil"/>
              <w:bottom w:val="nil"/>
              <w:right w:val="nil"/>
            </w:tcBorders>
            <w:shd w:val="clear" w:color="auto" w:fill="auto"/>
            <w:noWrap/>
            <w:vAlign w:val="bottom"/>
            <w:hideMark/>
          </w:tcPr>
          <w:p w14:paraId="73959971" w14:textId="77777777" w:rsidR="00B260CE" w:rsidRPr="00B260CE" w:rsidRDefault="00B260CE" w:rsidP="0063648C">
            <w:pPr>
              <w:spacing w:after="0" w:line="240" w:lineRule="auto"/>
              <w:jc w:val="right"/>
              <w:rPr>
                <w:rFonts w:ascii="Times New Roman" w:eastAsia="Times New Roman" w:hAnsi="Times New Roman" w:cs="Times New Roman"/>
                <w:sz w:val="20"/>
                <w:szCs w:val="20"/>
                <w:lang w:val="es-CR" w:eastAsia="es-CR"/>
              </w:rPr>
            </w:pPr>
          </w:p>
        </w:tc>
        <w:tc>
          <w:tcPr>
            <w:tcW w:w="363" w:type="dxa"/>
            <w:gridSpan w:val="2"/>
            <w:tcBorders>
              <w:top w:val="nil"/>
              <w:left w:val="nil"/>
              <w:bottom w:val="nil"/>
              <w:right w:val="nil"/>
            </w:tcBorders>
            <w:shd w:val="clear" w:color="auto" w:fill="auto"/>
            <w:noWrap/>
            <w:vAlign w:val="bottom"/>
            <w:hideMark/>
          </w:tcPr>
          <w:p w14:paraId="4D2C8693" w14:textId="77777777" w:rsidR="00B260CE" w:rsidRPr="00B260CE" w:rsidRDefault="00B260CE" w:rsidP="0063648C">
            <w:pPr>
              <w:spacing w:after="0" w:line="240" w:lineRule="auto"/>
              <w:jc w:val="right"/>
              <w:rPr>
                <w:rFonts w:ascii="Times New Roman" w:eastAsia="Times New Roman" w:hAnsi="Times New Roman" w:cs="Times New Roman"/>
                <w:sz w:val="20"/>
                <w:szCs w:val="20"/>
                <w:lang w:val="es-CR" w:eastAsia="es-CR"/>
              </w:rPr>
            </w:pPr>
          </w:p>
        </w:tc>
        <w:tc>
          <w:tcPr>
            <w:tcW w:w="2031" w:type="dxa"/>
            <w:tcBorders>
              <w:top w:val="nil"/>
              <w:left w:val="nil"/>
              <w:bottom w:val="nil"/>
              <w:right w:val="nil"/>
            </w:tcBorders>
            <w:shd w:val="clear" w:color="auto" w:fill="auto"/>
            <w:noWrap/>
            <w:vAlign w:val="bottom"/>
            <w:hideMark/>
          </w:tcPr>
          <w:p w14:paraId="40339F6D" w14:textId="77777777" w:rsidR="00B260CE" w:rsidRPr="00B260CE" w:rsidRDefault="00B260CE" w:rsidP="0063648C">
            <w:pPr>
              <w:spacing w:after="0" w:line="240" w:lineRule="auto"/>
              <w:jc w:val="right"/>
              <w:rPr>
                <w:rFonts w:ascii="Times New Roman" w:eastAsia="Times New Roman" w:hAnsi="Times New Roman" w:cs="Times New Roman"/>
                <w:sz w:val="20"/>
                <w:szCs w:val="20"/>
                <w:lang w:val="es-CR" w:eastAsia="es-CR"/>
              </w:rPr>
            </w:pPr>
          </w:p>
        </w:tc>
      </w:tr>
    </w:tbl>
    <w:p w14:paraId="43588522" w14:textId="2860286F" w:rsidR="00ED1903" w:rsidRDefault="0020443E" w:rsidP="003C6623">
      <w:pPr>
        <w:spacing w:before="240" w:line="360" w:lineRule="auto"/>
        <w:jc w:val="both"/>
        <w:rPr>
          <w:rFonts w:ascii="Arial" w:hAnsi="Arial" w:cs="Arial"/>
          <w:color w:val="000000" w:themeColor="text1"/>
          <w:sz w:val="20"/>
          <w:szCs w:val="20"/>
          <w:lang w:val="es-ES_tradnl"/>
        </w:rPr>
      </w:pPr>
      <w:r w:rsidRPr="00C60275">
        <w:rPr>
          <w:rFonts w:ascii="Arial" w:hAnsi="Arial" w:cs="Arial"/>
          <w:color w:val="000000" w:themeColor="text1"/>
          <w:sz w:val="20"/>
          <w:szCs w:val="20"/>
          <w:lang w:val="es-ES_tradnl"/>
        </w:rPr>
        <w:t>Con relación a los factores influyentes en las ejecuciones menores al 90%, se tiene una influencia del covid-19</w:t>
      </w:r>
      <w:r w:rsidR="00C60275">
        <w:rPr>
          <w:rFonts w:ascii="Arial" w:hAnsi="Arial" w:cs="Arial"/>
          <w:color w:val="000000" w:themeColor="text1"/>
          <w:sz w:val="20"/>
          <w:szCs w:val="20"/>
          <w:lang w:val="es-ES_tradnl"/>
        </w:rPr>
        <w:t xml:space="preserve"> en las subpartidas de servicios y materiales</w:t>
      </w:r>
      <w:r w:rsidRPr="00C60275">
        <w:rPr>
          <w:rFonts w:ascii="Arial" w:hAnsi="Arial" w:cs="Arial"/>
          <w:color w:val="000000" w:themeColor="text1"/>
          <w:sz w:val="20"/>
          <w:szCs w:val="20"/>
          <w:lang w:val="es-ES_tradnl"/>
        </w:rPr>
        <w:t>, específicamente por la implementación de teletrabajo</w:t>
      </w:r>
      <w:r w:rsidR="00C60275">
        <w:rPr>
          <w:rFonts w:ascii="Arial" w:hAnsi="Arial" w:cs="Arial"/>
          <w:color w:val="000000" w:themeColor="text1"/>
          <w:sz w:val="20"/>
          <w:szCs w:val="20"/>
          <w:lang w:val="es-ES_tradnl"/>
        </w:rPr>
        <w:t>, implementado como medida de contención para evitar la incidencia del virus en el territorio nacional</w:t>
      </w:r>
      <w:r w:rsidR="002B2DA9">
        <w:rPr>
          <w:rFonts w:ascii="Arial" w:hAnsi="Arial" w:cs="Arial"/>
          <w:color w:val="000000" w:themeColor="text1"/>
          <w:sz w:val="20"/>
          <w:szCs w:val="20"/>
          <w:lang w:val="es-ES_tradnl"/>
        </w:rPr>
        <w:t>;</w:t>
      </w:r>
      <w:r w:rsidRPr="00C60275">
        <w:rPr>
          <w:rFonts w:ascii="Arial" w:hAnsi="Arial" w:cs="Arial"/>
          <w:color w:val="000000" w:themeColor="text1"/>
          <w:sz w:val="20"/>
          <w:szCs w:val="20"/>
          <w:lang w:val="es-ES_tradnl"/>
        </w:rPr>
        <w:t xml:space="preserve"> que a su vez logra generar ahorros </w:t>
      </w:r>
      <w:r w:rsidR="00C60275" w:rsidRPr="00C60275">
        <w:rPr>
          <w:rFonts w:ascii="Arial" w:hAnsi="Arial" w:cs="Arial"/>
          <w:color w:val="000000" w:themeColor="text1"/>
          <w:sz w:val="20"/>
          <w:szCs w:val="20"/>
          <w:lang w:val="es-ES_tradnl"/>
        </w:rPr>
        <w:t>tanto en la contratación de nuevos servicios para el mantenimiento, limpieza y seguridad de los bienes en custodia del Instituto Costarricense Sobre Drogas,</w:t>
      </w:r>
      <w:r w:rsidR="002B2DA9">
        <w:rPr>
          <w:rFonts w:ascii="Arial" w:hAnsi="Arial" w:cs="Arial"/>
          <w:color w:val="000000" w:themeColor="text1"/>
          <w:sz w:val="20"/>
          <w:szCs w:val="20"/>
          <w:lang w:val="es-ES_tradnl"/>
        </w:rPr>
        <w:t xml:space="preserve"> </w:t>
      </w:r>
      <w:r w:rsidR="00C60275" w:rsidRPr="00C60275">
        <w:rPr>
          <w:rFonts w:ascii="Arial" w:hAnsi="Arial" w:cs="Arial"/>
          <w:color w:val="000000" w:themeColor="text1"/>
          <w:sz w:val="20"/>
          <w:szCs w:val="20"/>
          <w:lang w:val="es-ES_tradnl"/>
        </w:rPr>
        <w:t xml:space="preserve">como </w:t>
      </w:r>
      <w:r w:rsidR="002B2DA9">
        <w:rPr>
          <w:rFonts w:ascii="Arial" w:hAnsi="Arial" w:cs="Arial"/>
          <w:color w:val="000000" w:themeColor="text1"/>
          <w:sz w:val="20"/>
          <w:szCs w:val="20"/>
          <w:lang w:val="es-ES_tradnl"/>
        </w:rPr>
        <w:t>reducción del gasto en subpartidas como viáticos</w:t>
      </w:r>
      <w:r w:rsidR="002B2DA9" w:rsidRPr="00C60275">
        <w:rPr>
          <w:rFonts w:ascii="Arial" w:hAnsi="Arial" w:cs="Arial"/>
          <w:color w:val="000000" w:themeColor="text1"/>
          <w:sz w:val="20"/>
          <w:szCs w:val="20"/>
          <w:lang w:val="es-ES_tradnl"/>
        </w:rPr>
        <w:t xml:space="preserve"> </w:t>
      </w:r>
      <w:r w:rsidR="002B2DA9">
        <w:rPr>
          <w:rFonts w:ascii="Arial" w:hAnsi="Arial" w:cs="Arial"/>
          <w:color w:val="000000" w:themeColor="text1"/>
          <w:sz w:val="20"/>
          <w:szCs w:val="20"/>
          <w:lang w:val="es-ES_tradnl"/>
        </w:rPr>
        <w:t xml:space="preserve">y </w:t>
      </w:r>
      <w:r w:rsidR="00C60275" w:rsidRPr="00C60275">
        <w:rPr>
          <w:rFonts w:ascii="Arial" w:hAnsi="Arial" w:cs="Arial"/>
          <w:color w:val="000000" w:themeColor="text1"/>
          <w:sz w:val="20"/>
          <w:szCs w:val="20"/>
          <w:lang w:val="es-ES_tradnl"/>
        </w:rPr>
        <w:t>en el uso de consumibles de oficina descritos con anterioridad</w:t>
      </w:r>
      <w:r w:rsidR="002B2DA9">
        <w:rPr>
          <w:rFonts w:ascii="Arial" w:hAnsi="Arial" w:cs="Arial"/>
          <w:color w:val="000000" w:themeColor="text1"/>
          <w:sz w:val="20"/>
          <w:szCs w:val="20"/>
          <w:lang w:val="es-ES_tradnl"/>
        </w:rPr>
        <w:t>.</w:t>
      </w:r>
    </w:p>
    <w:p w14:paraId="0BFBEC44" w14:textId="09BAA3C8" w:rsidR="002B2DA9" w:rsidRDefault="002B2DA9" w:rsidP="003C6623">
      <w:pPr>
        <w:spacing w:before="240" w:line="360" w:lineRule="auto"/>
        <w:jc w:val="both"/>
        <w:rPr>
          <w:rFonts w:ascii="Arial" w:hAnsi="Arial" w:cs="Arial"/>
          <w:color w:val="000000" w:themeColor="text1"/>
          <w:sz w:val="20"/>
          <w:szCs w:val="20"/>
          <w:lang w:val="es-ES_tradnl"/>
        </w:rPr>
      </w:pPr>
      <w:r>
        <w:rPr>
          <w:rFonts w:ascii="Arial" w:hAnsi="Arial" w:cs="Arial"/>
          <w:color w:val="000000" w:themeColor="text1"/>
          <w:sz w:val="20"/>
          <w:szCs w:val="20"/>
          <w:lang w:val="es-ES_tradnl"/>
        </w:rPr>
        <w:t>Otro de los factores influyentes en la contención del gasto</w:t>
      </w:r>
      <w:r w:rsidR="00C43E5E">
        <w:rPr>
          <w:rFonts w:ascii="Arial" w:hAnsi="Arial" w:cs="Arial"/>
          <w:color w:val="000000" w:themeColor="text1"/>
          <w:sz w:val="20"/>
          <w:szCs w:val="20"/>
          <w:lang w:val="es-ES_tradnl"/>
        </w:rPr>
        <w:t>,</w:t>
      </w:r>
      <w:r>
        <w:rPr>
          <w:rFonts w:ascii="Arial" w:hAnsi="Arial" w:cs="Arial"/>
          <w:color w:val="000000" w:themeColor="text1"/>
          <w:sz w:val="20"/>
          <w:szCs w:val="20"/>
          <w:lang w:val="es-ES_tradnl"/>
        </w:rPr>
        <w:t xml:space="preserve"> fue la </w:t>
      </w:r>
      <w:r w:rsidR="003065BD">
        <w:rPr>
          <w:rFonts w:ascii="Arial" w:hAnsi="Arial" w:cs="Arial"/>
          <w:color w:val="000000" w:themeColor="text1"/>
          <w:sz w:val="20"/>
          <w:szCs w:val="20"/>
          <w:lang w:val="es-ES_tradnl"/>
        </w:rPr>
        <w:t>implementación política</w:t>
      </w:r>
      <w:r w:rsidR="00C43E5E">
        <w:rPr>
          <w:rFonts w:ascii="Arial" w:hAnsi="Arial" w:cs="Arial"/>
          <w:color w:val="000000" w:themeColor="text1"/>
          <w:sz w:val="20"/>
          <w:szCs w:val="20"/>
          <w:lang w:val="es-ES_tradnl"/>
        </w:rPr>
        <w:t xml:space="preserve"> administrativas como la “cero papel”, que trajo consigo un cambio en la plataforma tecnológica de la institución que facilito el almacenamiento de datos en la nube OneDrive y Office 365 que trajo consigo un ahorros en la </w:t>
      </w:r>
      <w:r w:rsidR="00A412A8">
        <w:rPr>
          <w:rFonts w:ascii="Arial" w:hAnsi="Arial" w:cs="Arial"/>
          <w:color w:val="000000" w:themeColor="text1"/>
          <w:sz w:val="20"/>
          <w:szCs w:val="20"/>
          <w:lang w:val="es-ES_tradnl"/>
        </w:rPr>
        <w:t>adquirió</w:t>
      </w:r>
      <w:r w:rsidR="00C43E5E">
        <w:rPr>
          <w:rFonts w:ascii="Arial" w:hAnsi="Arial" w:cs="Arial"/>
          <w:color w:val="000000" w:themeColor="text1"/>
          <w:sz w:val="20"/>
          <w:szCs w:val="20"/>
          <w:lang w:val="es-ES_tradnl"/>
        </w:rPr>
        <w:t xml:space="preserve"> de una plataforma que le iba a dar soporte a datos </w:t>
      </w:r>
      <w:r w:rsidR="00A412A8">
        <w:rPr>
          <w:rFonts w:ascii="Arial" w:hAnsi="Arial" w:cs="Arial"/>
          <w:color w:val="000000" w:themeColor="text1"/>
          <w:sz w:val="20"/>
          <w:szCs w:val="20"/>
          <w:lang w:val="es-ES_tradnl"/>
        </w:rPr>
        <w:t xml:space="preserve">de la Unidad de Inteligencia Financiera, </w:t>
      </w:r>
      <w:r w:rsidR="00AB3DC8">
        <w:rPr>
          <w:rFonts w:ascii="Arial" w:hAnsi="Arial" w:cs="Arial"/>
          <w:color w:val="000000" w:themeColor="text1"/>
          <w:sz w:val="20"/>
          <w:szCs w:val="20"/>
          <w:lang w:val="es-ES_tradnl"/>
        </w:rPr>
        <w:t>además</w:t>
      </w:r>
      <w:r w:rsidR="00A412A8">
        <w:rPr>
          <w:rFonts w:ascii="Arial" w:hAnsi="Arial" w:cs="Arial"/>
          <w:color w:val="000000" w:themeColor="text1"/>
          <w:sz w:val="20"/>
          <w:szCs w:val="20"/>
          <w:lang w:val="es-ES_tradnl"/>
        </w:rPr>
        <w:t xml:space="preserve"> del ahorro en útiles y materiales de oficina,</w:t>
      </w:r>
      <w:r w:rsidR="003065BD">
        <w:rPr>
          <w:rFonts w:ascii="Arial" w:hAnsi="Arial" w:cs="Arial"/>
          <w:color w:val="000000" w:themeColor="text1"/>
          <w:sz w:val="20"/>
          <w:szCs w:val="20"/>
          <w:lang w:val="es-ES_tradnl"/>
        </w:rPr>
        <w:t xml:space="preserve"> derivándose en un ahorro</w:t>
      </w:r>
      <w:r w:rsidR="00A412A8">
        <w:rPr>
          <w:rFonts w:ascii="Arial" w:hAnsi="Arial" w:cs="Arial"/>
          <w:color w:val="000000" w:themeColor="text1"/>
          <w:sz w:val="20"/>
          <w:szCs w:val="20"/>
          <w:lang w:val="es-ES_tradnl"/>
        </w:rPr>
        <w:t xml:space="preserve"> con respecto a lo programado</w:t>
      </w:r>
      <w:r w:rsidR="003065BD">
        <w:rPr>
          <w:rFonts w:ascii="Arial" w:hAnsi="Arial" w:cs="Arial"/>
          <w:color w:val="000000" w:themeColor="text1"/>
          <w:sz w:val="20"/>
          <w:szCs w:val="20"/>
          <w:lang w:val="es-ES_tradnl"/>
        </w:rPr>
        <w:t>.</w:t>
      </w:r>
    </w:p>
    <w:p w14:paraId="3D219CDB" w14:textId="2E4F45B6" w:rsidR="003065BD" w:rsidRDefault="003065BD" w:rsidP="003C6623">
      <w:pPr>
        <w:spacing w:before="240" w:line="360" w:lineRule="auto"/>
        <w:jc w:val="both"/>
        <w:rPr>
          <w:rFonts w:ascii="Arial" w:hAnsi="Arial" w:cs="Arial"/>
          <w:color w:val="000000" w:themeColor="text1"/>
          <w:sz w:val="20"/>
          <w:szCs w:val="20"/>
          <w:lang w:val="es-ES_tradnl"/>
        </w:rPr>
      </w:pPr>
      <w:r>
        <w:rPr>
          <w:rFonts w:ascii="Arial" w:hAnsi="Arial" w:cs="Arial"/>
          <w:color w:val="000000" w:themeColor="text1"/>
          <w:sz w:val="20"/>
          <w:szCs w:val="20"/>
          <w:lang w:val="es-ES_tradnl"/>
        </w:rPr>
        <w:lastRenderedPageBreak/>
        <w:t xml:space="preserve">Así mismo dentro de los factores que se consideraron con relevancia en las subejecuciones presupuestarias, fue la aplicación de las normas de ejecución 10 y 20, con respecto a la aplicación de la norma 10 se </w:t>
      </w:r>
      <w:r w:rsidR="008A3E88">
        <w:rPr>
          <w:rFonts w:ascii="Arial" w:hAnsi="Arial" w:cs="Arial"/>
          <w:color w:val="000000" w:themeColor="text1"/>
          <w:sz w:val="20"/>
          <w:szCs w:val="20"/>
          <w:lang w:val="es-ES_tradnl"/>
        </w:rPr>
        <w:t>logró</w:t>
      </w:r>
      <w:r>
        <w:rPr>
          <w:rFonts w:ascii="Arial" w:hAnsi="Arial" w:cs="Arial"/>
          <w:color w:val="000000" w:themeColor="text1"/>
          <w:sz w:val="20"/>
          <w:szCs w:val="20"/>
          <w:lang w:val="es-ES_tradnl"/>
        </w:rPr>
        <w:t xml:space="preserve"> tener ahorros de</w:t>
      </w:r>
      <w:r w:rsidR="008A3E88">
        <w:rPr>
          <w:rFonts w:ascii="Arial" w:hAnsi="Arial" w:cs="Arial"/>
          <w:color w:val="000000" w:themeColor="text1"/>
          <w:sz w:val="20"/>
          <w:szCs w:val="20"/>
          <w:lang w:val="es-ES_tradnl"/>
        </w:rPr>
        <w:t xml:space="preserve"> hasta 7,84 millones </w:t>
      </w:r>
      <w:r w:rsidR="00E602B3">
        <w:rPr>
          <w:rFonts w:ascii="Arial" w:hAnsi="Arial" w:cs="Arial"/>
          <w:color w:val="000000" w:themeColor="text1"/>
          <w:sz w:val="20"/>
          <w:szCs w:val="20"/>
          <w:lang w:val="es-ES_tradnl"/>
        </w:rPr>
        <w:t xml:space="preserve">en el </w:t>
      </w:r>
      <w:r w:rsidR="008A3E88">
        <w:rPr>
          <w:rFonts w:ascii="Arial" w:hAnsi="Arial" w:cs="Arial"/>
          <w:color w:val="000000" w:themeColor="text1"/>
          <w:sz w:val="20"/>
          <w:szCs w:val="20"/>
          <w:lang w:val="es-ES_tradnl"/>
        </w:rPr>
        <w:t>consumo de servicios de agua y electricidad</w:t>
      </w:r>
      <w:r w:rsidR="00E602B3">
        <w:rPr>
          <w:rFonts w:ascii="Arial" w:hAnsi="Arial" w:cs="Arial"/>
          <w:color w:val="000000" w:themeColor="text1"/>
          <w:sz w:val="20"/>
          <w:szCs w:val="20"/>
          <w:lang w:val="es-ES_tradnl"/>
        </w:rPr>
        <w:t>, durante el IV trimestre.</w:t>
      </w:r>
    </w:p>
    <w:p w14:paraId="7B33E101" w14:textId="11B679AA" w:rsidR="008A3E88" w:rsidRDefault="008A3E88" w:rsidP="003C6623">
      <w:pPr>
        <w:spacing w:before="240" w:line="360" w:lineRule="auto"/>
        <w:jc w:val="both"/>
        <w:rPr>
          <w:rFonts w:ascii="Arial" w:hAnsi="Arial" w:cs="Arial"/>
          <w:color w:val="000000" w:themeColor="text1"/>
          <w:sz w:val="20"/>
          <w:szCs w:val="20"/>
          <w:lang w:val="es-ES_tradnl"/>
        </w:rPr>
      </w:pPr>
      <w:r>
        <w:rPr>
          <w:rFonts w:ascii="Arial" w:hAnsi="Arial" w:cs="Arial"/>
          <w:color w:val="000000" w:themeColor="text1"/>
          <w:sz w:val="20"/>
          <w:szCs w:val="20"/>
          <w:lang w:val="es-ES_tradnl"/>
        </w:rPr>
        <w:t>Por otra parte, en la aplicación de la norma 20, se realizaron esfuerzos por tener los proyectos de inversión pública institucional a tiempo, para realizar las contrataciones financiadas con gasto de capital, sin embargo</w:t>
      </w:r>
      <w:r w:rsidR="00E602B3">
        <w:rPr>
          <w:rFonts w:ascii="Arial" w:hAnsi="Arial" w:cs="Arial"/>
          <w:color w:val="000000" w:themeColor="text1"/>
          <w:sz w:val="20"/>
          <w:szCs w:val="20"/>
          <w:lang w:val="es-ES_tradnl"/>
        </w:rPr>
        <w:t>,</w:t>
      </w:r>
      <w:r>
        <w:rPr>
          <w:rFonts w:ascii="Arial" w:hAnsi="Arial" w:cs="Arial"/>
          <w:color w:val="000000" w:themeColor="text1"/>
          <w:sz w:val="20"/>
          <w:szCs w:val="20"/>
          <w:lang w:val="es-ES_tradnl"/>
        </w:rPr>
        <w:t xml:space="preserve"> solamente  se pudieron realizar dos inscripciones en el Banco de Proyectos de Inversión Pública, uno de </w:t>
      </w:r>
      <w:r w:rsidR="00E602B3">
        <w:rPr>
          <w:rFonts w:ascii="Arial" w:hAnsi="Arial" w:cs="Arial"/>
          <w:color w:val="000000" w:themeColor="text1"/>
          <w:sz w:val="20"/>
          <w:szCs w:val="20"/>
          <w:lang w:val="es-ES_tradnl"/>
        </w:rPr>
        <w:t>ell</w:t>
      </w:r>
      <w:r>
        <w:rPr>
          <w:rFonts w:ascii="Arial" w:hAnsi="Arial" w:cs="Arial"/>
          <w:color w:val="000000" w:themeColor="text1"/>
          <w:sz w:val="20"/>
          <w:szCs w:val="20"/>
          <w:lang w:val="es-ES_tradnl"/>
        </w:rPr>
        <w:t xml:space="preserve">os se </w:t>
      </w:r>
      <w:r w:rsidR="00AB3DC8">
        <w:rPr>
          <w:rFonts w:ascii="Arial" w:hAnsi="Arial" w:cs="Arial"/>
          <w:color w:val="000000" w:themeColor="text1"/>
          <w:sz w:val="20"/>
          <w:szCs w:val="20"/>
          <w:lang w:val="es-ES_tradnl"/>
        </w:rPr>
        <w:t>logró</w:t>
      </w:r>
      <w:r>
        <w:rPr>
          <w:rFonts w:ascii="Arial" w:hAnsi="Arial" w:cs="Arial"/>
          <w:color w:val="000000" w:themeColor="text1"/>
          <w:sz w:val="20"/>
          <w:szCs w:val="20"/>
          <w:lang w:val="es-ES_tradnl"/>
        </w:rPr>
        <w:t xml:space="preserve"> ejecutar en un 100% de las metas y objetivos propuestos con un </w:t>
      </w:r>
      <w:r w:rsidR="001647FB">
        <w:rPr>
          <w:rFonts w:ascii="Arial" w:hAnsi="Arial" w:cs="Arial"/>
          <w:color w:val="000000" w:themeColor="text1"/>
          <w:sz w:val="20"/>
          <w:szCs w:val="20"/>
          <w:lang w:val="es-ES_tradnl"/>
        </w:rPr>
        <w:t>51,72% del total del presupuesto del proyecto y el otro no se logró ejecutar por el tiempo que tardo su inscripción, imposibilitando que se dieran los procesos de contrataciones relacionados con el mismo.</w:t>
      </w:r>
    </w:p>
    <w:p w14:paraId="788CEF97" w14:textId="0D1D4DC1" w:rsidR="00EE6BB1" w:rsidRDefault="001647FB" w:rsidP="003C6623">
      <w:pPr>
        <w:spacing w:before="240" w:line="360" w:lineRule="auto"/>
        <w:jc w:val="both"/>
        <w:rPr>
          <w:rFonts w:ascii="Arial" w:hAnsi="Arial" w:cs="Arial"/>
          <w:color w:val="000000" w:themeColor="text1"/>
          <w:sz w:val="20"/>
          <w:szCs w:val="20"/>
          <w:lang w:val="es-ES_tradnl"/>
        </w:rPr>
      </w:pPr>
      <w:r w:rsidRPr="001647FB">
        <w:rPr>
          <w:rFonts w:ascii="Arial" w:hAnsi="Arial" w:cs="Arial"/>
          <w:color w:val="000000" w:themeColor="text1"/>
          <w:sz w:val="20"/>
          <w:szCs w:val="20"/>
          <w:lang w:val="es-ES_tradnl"/>
        </w:rPr>
        <w:t xml:space="preserve">Propiamente con lo relacionado a problemas con los procesos de contratación administrativa programados, se realizaron esfuerzos </w:t>
      </w:r>
      <w:r>
        <w:rPr>
          <w:rFonts w:ascii="Arial" w:hAnsi="Arial" w:cs="Arial"/>
          <w:color w:val="000000" w:themeColor="text1"/>
          <w:sz w:val="20"/>
          <w:szCs w:val="20"/>
          <w:lang w:val="es-ES_tradnl"/>
        </w:rPr>
        <w:t xml:space="preserve">por medio de la Proveeduría Institucional en </w:t>
      </w:r>
      <w:r w:rsidR="00F375E5">
        <w:rPr>
          <w:rFonts w:ascii="Arial" w:hAnsi="Arial" w:cs="Arial"/>
          <w:color w:val="000000" w:themeColor="text1"/>
          <w:sz w:val="20"/>
          <w:szCs w:val="20"/>
          <w:lang w:val="es-ES_tradnl"/>
        </w:rPr>
        <w:t>coordinar el inicio de los procesos con las Unidades del Instituto, sin embargo, hubo pocas contrataciones solicitadas por las mismas, especialmente en requerimientos de útiles y materiales de oficina.</w:t>
      </w:r>
    </w:p>
    <w:p w14:paraId="48E3F6FF" w14:textId="7C737876" w:rsidR="000F20B0" w:rsidRDefault="00F375E5" w:rsidP="00F959E6">
      <w:pPr>
        <w:spacing w:before="240" w:line="360" w:lineRule="auto"/>
        <w:jc w:val="both"/>
        <w:rPr>
          <w:rFonts w:ascii="Arial" w:hAnsi="Arial" w:cs="Arial"/>
          <w:color w:val="000000" w:themeColor="text1"/>
          <w:sz w:val="20"/>
          <w:szCs w:val="20"/>
          <w:lang w:val="es-ES_tradnl"/>
        </w:rPr>
      </w:pPr>
      <w:r>
        <w:rPr>
          <w:rFonts w:ascii="Arial" w:hAnsi="Arial" w:cs="Arial"/>
          <w:color w:val="000000" w:themeColor="text1"/>
          <w:sz w:val="20"/>
          <w:szCs w:val="20"/>
          <w:lang w:val="es-ES_tradnl"/>
        </w:rPr>
        <w:t xml:space="preserve">A continuación, se </w:t>
      </w:r>
      <w:r w:rsidR="00AB3DC8">
        <w:rPr>
          <w:rFonts w:ascii="Arial" w:hAnsi="Arial" w:cs="Arial"/>
          <w:color w:val="000000" w:themeColor="text1"/>
          <w:sz w:val="20"/>
          <w:szCs w:val="20"/>
          <w:lang w:val="es-ES_tradnl"/>
        </w:rPr>
        <w:t>amplía</w:t>
      </w:r>
      <w:r>
        <w:rPr>
          <w:rFonts w:ascii="Arial" w:hAnsi="Arial" w:cs="Arial"/>
          <w:color w:val="000000" w:themeColor="text1"/>
          <w:sz w:val="20"/>
          <w:szCs w:val="20"/>
          <w:lang w:val="es-ES_tradnl"/>
        </w:rPr>
        <w:t xml:space="preserve"> más sobre acciones correctivas llevadas a cabo para mejorar los porcentajes de ejecución presupuestaria detallando aquellas partidas que tuvieron ejecuciones inferiores al 45</w:t>
      </w:r>
      <w:r w:rsidR="00B920B0">
        <w:rPr>
          <w:rFonts w:ascii="Arial" w:hAnsi="Arial" w:cs="Arial"/>
          <w:color w:val="000000" w:themeColor="text1"/>
          <w:sz w:val="20"/>
          <w:szCs w:val="20"/>
          <w:lang w:val="es-ES_tradnl"/>
        </w:rPr>
        <w:t>,00</w:t>
      </w:r>
      <w:r>
        <w:rPr>
          <w:rFonts w:ascii="Arial" w:hAnsi="Arial" w:cs="Arial"/>
          <w:color w:val="000000" w:themeColor="text1"/>
          <w:sz w:val="20"/>
          <w:szCs w:val="20"/>
          <w:lang w:val="es-ES_tradnl"/>
        </w:rPr>
        <w:t xml:space="preserve">% </w:t>
      </w:r>
      <w:r w:rsidR="00B920B0">
        <w:rPr>
          <w:rFonts w:ascii="Arial" w:hAnsi="Arial" w:cs="Arial"/>
          <w:color w:val="000000" w:themeColor="text1"/>
          <w:sz w:val="20"/>
          <w:szCs w:val="20"/>
          <w:lang w:val="es-ES_tradnl"/>
        </w:rPr>
        <w:t xml:space="preserve">al 30/06/2021 y al 90,00% al 31/12/2021, razón por la que se excluye del análisis del cuadro 3, la partida de servicios, ya que se obtuvo un porcentaje del 46,41% al 30 de junio del 2021, por lo que no se generó ningún tipo de acción </w:t>
      </w:r>
      <w:r w:rsidR="000F20B0">
        <w:rPr>
          <w:rFonts w:ascii="Arial" w:hAnsi="Arial" w:cs="Arial"/>
          <w:color w:val="000000" w:themeColor="text1"/>
          <w:sz w:val="20"/>
          <w:szCs w:val="20"/>
          <w:lang w:val="es-ES_tradnl"/>
        </w:rPr>
        <w:t>correctiva.</w:t>
      </w:r>
    </w:p>
    <w:p w14:paraId="237506AF" w14:textId="5B8E24F0" w:rsidR="000F20B0" w:rsidRDefault="000F20B0" w:rsidP="0063648C">
      <w:pPr>
        <w:spacing w:before="240" w:line="360" w:lineRule="auto"/>
        <w:jc w:val="right"/>
        <w:rPr>
          <w:rFonts w:ascii="Arial" w:hAnsi="Arial" w:cs="Arial"/>
          <w:color w:val="000000" w:themeColor="text1"/>
          <w:sz w:val="20"/>
          <w:szCs w:val="20"/>
          <w:lang w:val="es-ES_tradnl"/>
        </w:rPr>
      </w:pPr>
    </w:p>
    <w:p w14:paraId="772C0252" w14:textId="6E61FCA5" w:rsidR="000F20B0" w:rsidRDefault="000F20B0" w:rsidP="0063648C">
      <w:pPr>
        <w:spacing w:before="240" w:line="360" w:lineRule="auto"/>
        <w:jc w:val="right"/>
        <w:rPr>
          <w:rFonts w:ascii="Arial" w:hAnsi="Arial" w:cs="Arial"/>
          <w:color w:val="000000" w:themeColor="text1"/>
          <w:sz w:val="20"/>
          <w:szCs w:val="20"/>
          <w:lang w:val="es-ES_tradnl"/>
        </w:rPr>
      </w:pPr>
    </w:p>
    <w:p w14:paraId="402645B2" w14:textId="174C8BF8" w:rsidR="000F20B0" w:rsidRDefault="000F20B0" w:rsidP="0063648C">
      <w:pPr>
        <w:spacing w:before="240" w:line="360" w:lineRule="auto"/>
        <w:jc w:val="right"/>
        <w:rPr>
          <w:rFonts w:ascii="Arial" w:hAnsi="Arial" w:cs="Arial"/>
          <w:color w:val="000000" w:themeColor="text1"/>
          <w:sz w:val="20"/>
          <w:szCs w:val="20"/>
          <w:lang w:val="es-ES_tradnl"/>
        </w:rPr>
      </w:pPr>
    </w:p>
    <w:p w14:paraId="6EA25573" w14:textId="64B50AFF" w:rsidR="000F20B0" w:rsidRDefault="000F20B0" w:rsidP="0063648C">
      <w:pPr>
        <w:spacing w:before="240" w:line="360" w:lineRule="auto"/>
        <w:jc w:val="right"/>
        <w:rPr>
          <w:rFonts w:ascii="Arial" w:hAnsi="Arial" w:cs="Arial"/>
          <w:color w:val="000000" w:themeColor="text1"/>
          <w:sz w:val="20"/>
          <w:szCs w:val="20"/>
          <w:lang w:val="es-ES_tradnl"/>
        </w:rPr>
      </w:pPr>
    </w:p>
    <w:p w14:paraId="1073B9F9" w14:textId="42B2370F" w:rsidR="000F20B0" w:rsidRDefault="000F20B0" w:rsidP="0063648C">
      <w:pPr>
        <w:spacing w:before="240" w:line="360" w:lineRule="auto"/>
        <w:jc w:val="right"/>
        <w:rPr>
          <w:rFonts w:ascii="Arial" w:hAnsi="Arial" w:cs="Arial"/>
          <w:color w:val="000000" w:themeColor="text1"/>
          <w:sz w:val="20"/>
          <w:szCs w:val="20"/>
          <w:lang w:val="es-ES_tradnl"/>
        </w:rPr>
      </w:pPr>
    </w:p>
    <w:p w14:paraId="49F71DBB" w14:textId="283C5C43" w:rsidR="000F20B0" w:rsidRDefault="000F20B0" w:rsidP="0063648C">
      <w:pPr>
        <w:spacing w:before="240" w:line="360" w:lineRule="auto"/>
        <w:jc w:val="right"/>
        <w:rPr>
          <w:rFonts w:ascii="Arial" w:hAnsi="Arial" w:cs="Arial"/>
          <w:color w:val="000000" w:themeColor="text1"/>
          <w:sz w:val="20"/>
          <w:szCs w:val="20"/>
          <w:lang w:val="es-ES_tradnl"/>
        </w:rPr>
      </w:pPr>
    </w:p>
    <w:p w14:paraId="2EAC3B33" w14:textId="2067EA99" w:rsidR="000F20B0" w:rsidRDefault="000F20B0" w:rsidP="0063648C">
      <w:pPr>
        <w:spacing w:before="240" w:line="360" w:lineRule="auto"/>
        <w:jc w:val="right"/>
        <w:rPr>
          <w:rFonts w:ascii="Arial" w:hAnsi="Arial" w:cs="Arial"/>
          <w:color w:val="000000" w:themeColor="text1"/>
          <w:sz w:val="20"/>
          <w:szCs w:val="20"/>
          <w:lang w:val="es-ES_tradnl"/>
        </w:rPr>
      </w:pPr>
    </w:p>
    <w:p w14:paraId="4D9FA59B" w14:textId="77777777" w:rsidR="000F20B0" w:rsidRPr="00E9519D" w:rsidRDefault="000F20B0" w:rsidP="0063648C">
      <w:pPr>
        <w:spacing w:before="240" w:line="360" w:lineRule="auto"/>
        <w:jc w:val="right"/>
        <w:rPr>
          <w:rFonts w:ascii="Arial" w:hAnsi="Arial" w:cs="Arial"/>
          <w:color w:val="000000" w:themeColor="text1"/>
          <w:sz w:val="20"/>
          <w:szCs w:val="20"/>
          <w:lang w:val="es-ES_tradnl"/>
        </w:rPr>
      </w:pPr>
    </w:p>
    <w:tbl>
      <w:tblPr>
        <w:tblW w:w="9349" w:type="dxa"/>
        <w:tblCellMar>
          <w:left w:w="70" w:type="dxa"/>
          <w:right w:w="70" w:type="dxa"/>
        </w:tblCellMar>
        <w:tblLook w:val="04A0" w:firstRow="1" w:lastRow="0" w:firstColumn="1" w:lastColumn="0" w:noHBand="0" w:noVBand="1"/>
      </w:tblPr>
      <w:tblGrid>
        <w:gridCol w:w="1463"/>
        <w:gridCol w:w="1089"/>
        <w:gridCol w:w="754"/>
        <w:gridCol w:w="2506"/>
        <w:gridCol w:w="284"/>
        <w:gridCol w:w="1319"/>
        <w:gridCol w:w="1232"/>
        <w:gridCol w:w="431"/>
        <w:gridCol w:w="271"/>
      </w:tblGrid>
      <w:tr w:rsidR="007810B9" w:rsidRPr="007810B9" w14:paraId="53EF6C41" w14:textId="77777777" w:rsidTr="00140BF3">
        <w:trPr>
          <w:gridAfter w:val="2"/>
          <w:wAfter w:w="702" w:type="dxa"/>
          <w:trHeight w:val="300"/>
        </w:trPr>
        <w:tc>
          <w:tcPr>
            <w:tcW w:w="1463" w:type="dxa"/>
            <w:tcBorders>
              <w:top w:val="nil"/>
              <w:left w:val="nil"/>
              <w:bottom w:val="nil"/>
              <w:right w:val="nil"/>
            </w:tcBorders>
            <w:shd w:val="clear" w:color="auto" w:fill="auto"/>
            <w:noWrap/>
            <w:vAlign w:val="bottom"/>
            <w:hideMark/>
          </w:tcPr>
          <w:p w14:paraId="7185DBE6" w14:textId="77777777" w:rsidR="007810B9" w:rsidRPr="007810B9" w:rsidRDefault="007810B9" w:rsidP="0063648C">
            <w:pPr>
              <w:spacing w:after="0" w:line="240" w:lineRule="auto"/>
              <w:jc w:val="right"/>
              <w:rPr>
                <w:rFonts w:ascii="Times New Roman" w:eastAsia="Times New Roman" w:hAnsi="Times New Roman" w:cs="Times New Roman"/>
                <w:sz w:val="24"/>
                <w:szCs w:val="24"/>
                <w:lang w:val="es-CR" w:eastAsia="es-CR"/>
              </w:rPr>
            </w:pPr>
          </w:p>
        </w:tc>
        <w:tc>
          <w:tcPr>
            <w:tcW w:w="1843" w:type="dxa"/>
            <w:gridSpan w:val="2"/>
            <w:tcBorders>
              <w:top w:val="nil"/>
              <w:left w:val="nil"/>
              <w:bottom w:val="nil"/>
              <w:right w:val="nil"/>
            </w:tcBorders>
            <w:shd w:val="clear" w:color="auto" w:fill="auto"/>
            <w:noWrap/>
            <w:vAlign w:val="bottom"/>
            <w:hideMark/>
          </w:tcPr>
          <w:p w14:paraId="3751EB09" w14:textId="77777777" w:rsidR="007810B9" w:rsidRPr="007810B9" w:rsidRDefault="007810B9" w:rsidP="00F959E6">
            <w:pPr>
              <w:spacing w:after="0" w:line="240" w:lineRule="auto"/>
              <w:rPr>
                <w:rFonts w:ascii="Times New Roman" w:eastAsia="Times New Roman" w:hAnsi="Times New Roman" w:cs="Times New Roman"/>
                <w:sz w:val="20"/>
                <w:szCs w:val="20"/>
                <w:lang w:val="es-CR" w:eastAsia="es-CR"/>
              </w:rPr>
            </w:pPr>
          </w:p>
        </w:tc>
        <w:tc>
          <w:tcPr>
            <w:tcW w:w="2506" w:type="dxa"/>
            <w:tcBorders>
              <w:top w:val="nil"/>
              <w:left w:val="nil"/>
              <w:bottom w:val="nil"/>
              <w:right w:val="nil"/>
            </w:tcBorders>
            <w:shd w:val="clear" w:color="auto" w:fill="auto"/>
            <w:noWrap/>
            <w:vAlign w:val="bottom"/>
            <w:hideMark/>
          </w:tcPr>
          <w:p w14:paraId="5CB28213" w14:textId="77777777" w:rsidR="007810B9" w:rsidRPr="007810B9" w:rsidRDefault="007810B9" w:rsidP="0063648C">
            <w:pPr>
              <w:spacing w:after="0" w:line="240" w:lineRule="auto"/>
              <w:jc w:val="right"/>
              <w:rPr>
                <w:rFonts w:ascii="Times New Roman" w:eastAsia="Times New Roman" w:hAnsi="Times New Roman" w:cs="Times New Roman"/>
                <w:sz w:val="20"/>
                <w:szCs w:val="20"/>
                <w:lang w:val="es-CR" w:eastAsia="es-CR"/>
              </w:rPr>
            </w:pPr>
          </w:p>
        </w:tc>
        <w:tc>
          <w:tcPr>
            <w:tcW w:w="2835" w:type="dxa"/>
            <w:gridSpan w:val="3"/>
            <w:tcBorders>
              <w:top w:val="nil"/>
              <w:left w:val="nil"/>
              <w:bottom w:val="nil"/>
              <w:right w:val="nil"/>
            </w:tcBorders>
            <w:shd w:val="clear" w:color="auto" w:fill="auto"/>
            <w:noWrap/>
            <w:vAlign w:val="bottom"/>
            <w:hideMark/>
          </w:tcPr>
          <w:p w14:paraId="4734E985" w14:textId="77777777" w:rsidR="007810B9" w:rsidRPr="007810B9" w:rsidRDefault="007810B9" w:rsidP="0063648C">
            <w:pPr>
              <w:spacing w:after="0" w:line="240" w:lineRule="auto"/>
              <w:jc w:val="right"/>
              <w:rPr>
                <w:rFonts w:ascii="Times New Roman" w:eastAsia="Times New Roman" w:hAnsi="Times New Roman" w:cs="Times New Roman"/>
                <w:sz w:val="20"/>
                <w:szCs w:val="20"/>
                <w:lang w:val="es-CR" w:eastAsia="es-CR"/>
              </w:rPr>
            </w:pPr>
          </w:p>
        </w:tc>
      </w:tr>
      <w:tr w:rsidR="007810B9" w:rsidRPr="000353BD" w14:paraId="0DF2D298" w14:textId="77777777" w:rsidTr="00140BF3">
        <w:trPr>
          <w:gridAfter w:val="2"/>
          <w:wAfter w:w="702" w:type="dxa"/>
          <w:trHeight w:val="300"/>
        </w:trPr>
        <w:tc>
          <w:tcPr>
            <w:tcW w:w="8647" w:type="dxa"/>
            <w:gridSpan w:val="7"/>
            <w:tcBorders>
              <w:top w:val="nil"/>
              <w:left w:val="nil"/>
              <w:bottom w:val="nil"/>
              <w:right w:val="nil"/>
            </w:tcBorders>
            <w:shd w:val="clear" w:color="auto" w:fill="auto"/>
            <w:noWrap/>
            <w:vAlign w:val="center"/>
            <w:hideMark/>
          </w:tcPr>
          <w:p w14:paraId="2318EAC2" w14:textId="77777777" w:rsidR="007810B9" w:rsidRPr="007810B9" w:rsidRDefault="007810B9" w:rsidP="00B919D4">
            <w:pPr>
              <w:spacing w:after="0" w:line="240" w:lineRule="auto"/>
              <w:jc w:val="center"/>
              <w:rPr>
                <w:rFonts w:ascii="Arial" w:eastAsia="Times New Roman" w:hAnsi="Arial" w:cs="Arial"/>
                <w:b/>
                <w:bCs/>
                <w:color w:val="000000"/>
                <w:sz w:val="20"/>
                <w:szCs w:val="20"/>
                <w:lang w:val="es-CR" w:eastAsia="es-CR"/>
              </w:rPr>
            </w:pPr>
            <w:r w:rsidRPr="007810B9">
              <w:rPr>
                <w:rFonts w:ascii="Arial" w:eastAsia="Times New Roman" w:hAnsi="Arial" w:cs="Arial"/>
                <w:b/>
                <w:bCs/>
                <w:color w:val="000000"/>
                <w:sz w:val="20"/>
                <w:szCs w:val="20"/>
                <w:lang w:val="es-CR" w:eastAsia="es-CR"/>
              </w:rPr>
              <w:lastRenderedPageBreak/>
              <w:t>Cuadro 3. Razones de los resultados obtenidos</w:t>
            </w:r>
          </w:p>
        </w:tc>
      </w:tr>
      <w:tr w:rsidR="007810B9" w:rsidRPr="007810B9" w14:paraId="252D6BEE" w14:textId="77777777" w:rsidTr="00140BF3">
        <w:trPr>
          <w:gridAfter w:val="2"/>
          <w:wAfter w:w="702" w:type="dxa"/>
          <w:trHeight w:val="300"/>
        </w:trPr>
        <w:tc>
          <w:tcPr>
            <w:tcW w:w="8647" w:type="dxa"/>
            <w:gridSpan w:val="7"/>
            <w:tcBorders>
              <w:top w:val="nil"/>
              <w:left w:val="nil"/>
              <w:bottom w:val="nil"/>
              <w:right w:val="nil"/>
            </w:tcBorders>
            <w:shd w:val="clear" w:color="auto" w:fill="auto"/>
            <w:noWrap/>
            <w:vAlign w:val="center"/>
            <w:hideMark/>
          </w:tcPr>
          <w:p w14:paraId="3785DAF3" w14:textId="1FC9D5E9" w:rsidR="007810B9" w:rsidRPr="007810B9" w:rsidRDefault="007810B9" w:rsidP="00B919D4">
            <w:pPr>
              <w:spacing w:after="0" w:line="240" w:lineRule="auto"/>
              <w:jc w:val="center"/>
              <w:rPr>
                <w:rFonts w:ascii="Arial" w:eastAsia="Times New Roman" w:hAnsi="Arial" w:cs="Arial"/>
                <w:color w:val="000000"/>
                <w:sz w:val="20"/>
                <w:szCs w:val="20"/>
                <w:lang w:val="es-CR" w:eastAsia="es-CR"/>
              </w:rPr>
            </w:pPr>
            <w:r w:rsidRPr="007810B9">
              <w:rPr>
                <w:rFonts w:ascii="Arial" w:eastAsia="Times New Roman" w:hAnsi="Arial" w:cs="Arial"/>
                <w:color w:val="000000"/>
                <w:sz w:val="20"/>
                <w:szCs w:val="20"/>
                <w:lang w:val="es-CR" w:eastAsia="es-CR"/>
              </w:rPr>
              <w:t>043</w:t>
            </w:r>
            <w:r w:rsidR="00060CD8">
              <w:rPr>
                <w:rFonts w:ascii="Arial" w:eastAsia="Times New Roman" w:hAnsi="Arial" w:cs="Arial"/>
                <w:color w:val="000000"/>
                <w:sz w:val="20"/>
                <w:szCs w:val="20"/>
                <w:lang w:val="es-CR" w:eastAsia="es-CR"/>
              </w:rPr>
              <w:t xml:space="preserve">- </w:t>
            </w:r>
            <w:r w:rsidRPr="007810B9">
              <w:rPr>
                <w:rFonts w:ascii="Arial" w:eastAsia="Times New Roman" w:hAnsi="Arial" w:cs="Arial"/>
                <w:color w:val="000000"/>
                <w:sz w:val="20"/>
                <w:szCs w:val="20"/>
                <w:lang w:val="es-CR" w:eastAsia="es-CR"/>
              </w:rPr>
              <w:t>Instituto Costarricense Sobre Drogas</w:t>
            </w:r>
          </w:p>
        </w:tc>
      </w:tr>
      <w:tr w:rsidR="007810B9" w:rsidRPr="007810B9" w14:paraId="37B42F4D" w14:textId="77777777" w:rsidTr="00140BF3">
        <w:trPr>
          <w:gridAfter w:val="2"/>
          <w:wAfter w:w="702" w:type="dxa"/>
          <w:trHeight w:val="315"/>
        </w:trPr>
        <w:tc>
          <w:tcPr>
            <w:tcW w:w="8647" w:type="dxa"/>
            <w:gridSpan w:val="7"/>
            <w:tcBorders>
              <w:top w:val="nil"/>
              <w:left w:val="nil"/>
              <w:bottom w:val="nil"/>
              <w:right w:val="nil"/>
            </w:tcBorders>
            <w:shd w:val="clear" w:color="auto" w:fill="auto"/>
            <w:noWrap/>
            <w:vAlign w:val="center"/>
            <w:hideMark/>
          </w:tcPr>
          <w:p w14:paraId="5A924028" w14:textId="77777777" w:rsidR="007810B9" w:rsidRPr="007810B9" w:rsidRDefault="007810B9" w:rsidP="00B919D4">
            <w:pPr>
              <w:spacing w:after="0" w:line="240" w:lineRule="auto"/>
              <w:jc w:val="center"/>
              <w:rPr>
                <w:rFonts w:ascii="Arial" w:eastAsia="Times New Roman" w:hAnsi="Arial" w:cs="Arial"/>
                <w:color w:val="000000"/>
                <w:sz w:val="20"/>
                <w:szCs w:val="20"/>
                <w:lang w:val="es-CR" w:eastAsia="es-CR"/>
              </w:rPr>
            </w:pPr>
            <w:r w:rsidRPr="007810B9">
              <w:rPr>
                <w:rFonts w:ascii="Arial" w:eastAsia="Times New Roman" w:hAnsi="Arial" w:cs="Arial"/>
                <w:color w:val="000000"/>
                <w:sz w:val="20"/>
                <w:szCs w:val="20"/>
                <w:lang w:val="es-CR" w:eastAsia="es-CR"/>
              </w:rPr>
              <w:t>Partidas con avance menor al 45,00% al 30/06/2021 y al 90,00% al 31/12/2021</w:t>
            </w:r>
          </w:p>
        </w:tc>
      </w:tr>
      <w:tr w:rsidR="00176515" w:rsidRPr="007810B9" w14:paraId="6ACA4253" w14:textId="77777777" w:rsidTr="00140BF3">
        <w:trPr>
          <w:gridAfter w:val="2"/>
          <w:wAfter w:w="702" w:type="dxa"/>
          <w:trHeight w:val="852"/>
        </w:trPr>
        <w:tc>
          <w:tcPr>
            <w:tcW w:w="1463" w:type="dxa"/>
            <w:tcBorders>
              <w:top w:val="single" w:sz="8" w:space="0" w:color="4F81BD"/>
              <w:left w:val="single" w:sz="8" w:space="0" w:color="4F81BD"/>
              <w:bottom w:val="nil"/>
              <w:right w:val="single" w:sz="8" w:space="0" w:color="4F81BD"/>
            </w:tcBorders>
            <w:shd w:val="clear" w:color="000000" w:fill="4F81BD"/>
            <w:vAlign w:val="center"/>
            <w:hideMark/>
          </w:tcPr>
          <w:p w14:paraId="16875E9D" w14:textId="77777777" w:rsidR="007810B9" w:rsidRPr="007810B9" w:rsidRDefault="007810B9" w:rsidP="000353BD">
            <w:pPr>
              <w:spacing w:after="0" w:line="240" w:lineRule="auto"/>
              <w:jc w:val="center"/>
              <w:rPr>
                <w:rFonts w:ascii="Arial" w:eastAsia="Times New Roman" w:hAnsi="Arial" w:cs="Arial"/>
                <w:b/>
                <w:bCs/>
                <w:color w:val="FFFFFF"/>
                <w:sz w:val="20"/>
                <w:szCs w:val="20"/>
                <w:lang w:val="es-CR" w:eastAsia="es-CR"/>
              </w:rPr>
            </w:pPr>
            <w:r w:rsidRPr="007810B9">
              <w:rPr>
                <w:rFonts w:ascii="Arial" w:eastAsia="Times New Roman" w:hAnsi="Arial" w:cs="Arial"/>
                <w:b/>
                <w:bCs/>
                <w:color w:val="FFFFFF"/>
                <w:sz w:val="20"/>
                <w:szCs w:val="20"/>
                <w:lang w:val="es-CR" w:eastAsia="es-CR"/>
              </w:rPr>
              <w:t>Nombre de la partida</w:t>
            </w:r>
          </w:p>
        </w:tc>
        <w:tc>
          <w:tcPr>
            <w:tcW w:w="1843" w:type="dxa"/>
            <w:gridSpan w:val="2"/>
            <w:tcBorders>
              <w:top w:val="single" w:sz="8" w:space="0" w:color="4F81BD"/>
              <w:left w:val="nil"/>
              <w:bottom w:val="nil"/>
              <w:right w:val="single" w:sz="8" w:space="0" w:color="4F81BD"/>
            </w:tcBorders>
            <w:shd w:val="clear" w:color="000000" w:fill="4F81BD"/>
            <w:vAlign w:val="center"/>
            <w:hideMark/>
          </w:tcPr>
          <w:p w14:paraId="62456501" w14:textId="77777777" w:rsidR="007810B9" w:rsidRPr="007810B9" w:rsidRDefault="007810B9" w:rsidP="000353BD">
            <w:pPr>
              <w:spacing w:after="0" w:line="240" w:lineRule="auto"/>
              <w:jc w:val="center"/>
              <w:rPr>
                <w:rFonts w:ascii="Arial" w:eastAsia="Times New Roman" w:hAnsi="Arial" w:cs="Arial"/>
                <w:b/>
                <w:bCs/>
                <w:color w:val="FFFFFF"/>
                <w:sz w:val="20"/>
                <w:szCs w:val="20"/>
                <w:lang w:val="es-CR" w:eastAsia="es-CR"/>
              </w:rPr>
            </w:pPr>
            <w:r w:rsidRPr="007810B9">
              <w:rPr>
                <w:rFonts w:ascii="Arial" w:eastAsia="Times New Roman" w:hAnsi="Arial" w:cs="Arial"/>
                <w:b/>
                <w:bCs/>
                <w:color w:val="FFFFFF"/>
                <w:sz w:val="20"/>
                <w:szCs w:val="20"/>
                <w:lang w:val="es-CR" w:eastAsia="es-CR"/>
              </w:rPr>
              <w:t xml:space="preserve">Factores al 30/06/2021 </w:t>
            </w:r>
            <w:r w:rsidRPr="007810B9">
              <w:rPr>
                <w:rFonts w:ascii="Arial" w:eastAsia="Times New Roman" w:hAnsi="Arial" w:cs="Arial"/>
                <w:b/>
                <w:bCs/>
                <w:color w:val="FFFFFF"/>
                <w:sz w:val="20"/>
                <w:szCs w:val="20"/>
                <w:vertAlign w:val="superscript"/>
                <w:lang w:val="es-CR" w:eastAsia="es-CR"/>
              </w:rPr>
              <w:t>/1</w:t>
            </w:r>
          </w:p>
        </w:tc>
        <w:tc>
          <w:tcPr>
            <w:tcW w:w="2506" w:type="dxa"/>
            <w:tcBorders>
              <w:top w:val="single" w:sz="8" w:space="0" w:color="4F81BD"/>
              <w:left w:val="nil"/>
              <w:bottom w:val="nil"/>
              <w:right w:val="single" w:sz="8" w:space="0" w:color="4F81BD"/>
            </w:tcBorders>
            <w:shd w:val="clear" w:color="000000" w:fill="4F81BD"/>
            <w:vAlign w:val="center"/>
            <w:hideMark/>
          </w:tcPr>
          <w:p w14:paraId="1B40CB81" w14:textId="77777777" w:rsidR="007810B9" w:rsidRPr="007810B9" w:rsidRDefault="007810B9" w:rsidP="000353BD">
            <w:pPr>
              <w:spacing w:after="0" w:line="240" w:lineRule="auto"/>
              <w:jc w:val="center"/>
              <w:rPr>
                <w:rFonts w:ascii="Arial" w:eastAsia="Times New Roman" w:hAnsi="Arial" w:cs="Arial"/>
                <w:b/>
                <w:bCs/>
                <w:color w:val="FFFFFF"/>
                <w:sz w:val="20"/>
                <w:szCs w:val="20"/>
                <w:lang w:val="es-CR" w:eastAsia="es-CR"/>
              </w:rPr>
            </w:pPr>
            <w:r w:rsidRPr="007810B9">
              <w:rPr>
                <w:rFonts w:ascii="Arial" w:eastAsia="Times New Roman" w:hAnsi="Arial" w:cs="Arial"/>
                <w:b/>
                <w:bCs/>
                <w:color w:val="FFFFFF"/>
                <w:sz w:val="20"/>
                <w:szCs w:val="20"/>
                <w:lang w:val="es-CR" w:eastAsia="es-CR"/>
              </w:rPr>
              <w:t xml:space="preserve">Acciones correctivas </w:t>
            </w:r>
            <w:r w:rsidRPr="007810B9">
              <w:rPr>
                <w:rFonts w:ascii="Arial" w:eastAsia="Times New Roman" w:hAnsi="Arial" w:cs="Arial"/>
                <w:b/>
                <w:bCs/>
                <w:color w:val="FFFFFF"/>
                <w:sz w:val="20"/>
                <w:szCs w:val="20"/>
                <w:vertAlign w:val="superscript"/>
                <w:lang w:val="es-CR" w:eastAsia="es-CR"/>
              </w:rPr>
              <w:t>/2</w:t>
            </w:r>
          </w:p>
        </w:tc>
        <w:tc>
          <w:tcPr>
            <w:tcW w:w="2835" w:type="dxa"/>
            <w:gridSpan w:val="3"/>
            <w:tcBorders>
              <w:top w:val="single" w:sz="8" w:space="0" w:color="4F81BD"/>
              <w:left w:val="nil"/>
              <w:bottom w:val="nil"/>
              <w:right w:val="single" w:sz="8" w:space="0" w:color="4F81BD"/>
            </w:tcBorders>
            <w:shd w:val="clear" w:color="000000" w:fill="4F81BD"/>
            <w:vAlign w:val="center"/>
            <w:hideMark/>
          </w:tcPr>
          <w:p w14:paraId="1FCBDC2C" w14:textId="77777777" w:rsidR="007810B9" w:rsidRPr="007810B9" w:rsidRDefault="007810B9" w:rsidP="000353BD">
            <w:pPr>
              <w:spacing w:after="0" w:line="240" w:lineRule="auto"/>
              <w:jc w:val="center"/>
              <w:rPr>
                <w:rFonts w:ascii="Arial" w:eastAsia="Times New Roman" w:hAnsi="Arial" w:cs="Arial"/>
                <w:b/>
                <w:bCs/>
                <w:color w:val="FFFFFF"/>
                <w:sz w:val="20"/>
                <w:szCs w:val="20"/>
                <w:lang w:val="es-CR" w:eastAsia="es-CR"/>
              </w:rPr>
            </w:pPr>
            <w:r w:rsidRPr="007810B9">
              <w:rPr>
                <w:rFonts w:ascii="Arial" w:eastAsia="Times New Roman" w:hAnsi="Arial" w:cs="Arial"/>
                <w:b/>
                <w:bCs/>
                <w:color w:val="FFFFFF"/>
                <w:sz w:val="20"/>
                <w:szCs w:val="20"/>
                <w:lang w:val="es-CR" w:eastAsia="es-CR"/>
              </w:rPr>
              <w:t xml:space="preserve">Razones </w:t>
            </w:r>
            <w:r w:rsidRPr="007810B9">
              <w:rPr>
                <w:rFonts w:ascii="Arial" w:eastAsia="Times New Roman" w:hAnsi="Arial" w:cs="Arial"/>
                <w:b/>
                <w:bCs/>
                <w:color w:val="FFFFFF"/>
                <w:sz w:val="20"/>
                <w:szCs w:val="20"/>
                <w:vertAlign w:val="superscript"/>
                <w:lang w:val="es-CR" w:eastAsia="es-CR"/>
              </w:rPr>
              <w:t>/3</w:t>
            </w:r>
          </w:p>
        </w:tc>
      </w:tr>
      <w:tr w:rsidR="00046830" w:rsidRPr="007810B9" w14:paraId="56FE94C6" w14:textId="77777777" w:rsidTr="00140BF3">
        <w:trPr>
          <w:gridAfter w:val="2"/>
          <w:wAfter w:w="702" w:type="dxa"/>
          <w:trHeight w:val="2286"/>
        </w:trPr>
        <w:tc>
          <w:tcPr>
            <w:tcW w:w="1463" w:type="dxa"/>
            <w:tcBorders>
              <w:top w:val="single" w:sz="8" w:space="0" w:color="4472C4"/>
              <w:left w:val="single" w:sz="8" w:space="0" w:color="4472C4"/>
              <w:bottom w:val="single" w:sz="8" w:space="0" w:color="4472C4"/>
              <w:right w:val="single" w:sz="8" w:space="0" w:color="4F81BD"/>
            </w:tcBorders>
            <w:shd w:val="clear" w:color="auto" w:fill="auto"/>
            <w:hideMark/>
          </w:tcPr>
          <w:p w14:paraId="6C5F48C9" w14:textId="48D8D3C3" w:rsidR="00046830" w:rsidRPr="002A3F86" w:rsidRDefault="00046830" w:rsidP="00F959E6">
            <w:pPr>
              <w:spacing w:before="240" w:after="0" w:line="360" w:lineRule="auto"/>
              <w:jc w:val="both"/>
              <w:rPr>
                <w:rFonts w:ascii="Arial" w:eastAsia="Times New Roman" w:hAnsi="Arial" w:cs="Arial"/>
                <w:color w:val="000000"/>
                <w:sz w:val="20"/>
                <w:szCs w:val="20"/>
                <w:lang w:val="es-CR" w:eastAsia="es-CR"/>
              </w:rPr>
            </w:pPr>
            <w:r w:rsidRPr="002A3F86">
              <w:rPr>
                <w:rFonts w:ascii="Arial" w:hAnsi="Arial" w:cs="Arial"/>
                <w:color w:val="000000"/>
                <w:sz w:val="20"/>
                <w:szCs w:val="20"/>
              </w:rPr>
              <w:t>Materiales</w:t>
            </w:r>
          </w:p>
        </w:tc>
        <w:tc>
          <w:tcPr>
            <w:tcW w:w="1843" w:type="dxa"/>
            <w:gridSpan w:val="2"/>
            <w:tcBorders>
              <w:top w:val="single" w:sz="8" w:space="0" w:color="4472C4"/>
              <w:left w:val="nil"/>
              <w:bottom w:val="single" w:sz="8" w:space="0" w:color="4472C4"/>
              <w:right w:val="single" w:sz="8" w:space="0" w:color="4F81BD"/>
            </w:tcBorders>
            <w:shd w:val="clear" w:color="auto" w:fill="auto"/>
            <w:hideMark/>
          </w:tcPr>
          <w:p w14:paraId="06781CE8" w14:textId="14FC1689" w:rsidR="007A015A" w:rsidRPr="002A3F86" w:rsidRDefault="007A015A" w:rsidP="00F959E6">
            <w:pPr>
              <w:spacing w:before="240" w:after="0" w:line="360" w:lineRule="auto"/>
              <w:jc w:val="both"/>
              <w:rPr>
                <w:rFonts w:ascii="Arial" w:hAnsi="Arial" w:cs="Arial"/>
                <w:color w:val="000000"/>
                <w:sz w:val="20"/>
                <w:szCs w:val="20"/>
              </w:rPr>
            </w:pPr>
            <w:r w:rsidRPr="002A3F86">
              <w:rPr>
                <w:rFonts w:ascii="Arial" w:hAnsi="Arial" w:cs="Arial"/>
                <w:bCs/>
                <w:color w:val="000000" w:themeColor="text1"/>
                <w:sz w:val="20"/>
                <w:szCs w:val="20"/>
              </w:rPr>
              <w:t>Impacto generado por la emergencia sanitaria por el Covid-19.</w:t>
            </w:r>
          </w:p>
          <w:p w14:paraId="18F87181" w14:textId="665DA8D0" w:rsidR="007A015A" w:rsidRPr="002A3F86" w:rsidRDefault="007A015A" w:rsidP="00F959E6">
            <w:pPr>
              <w:spacing w:before="240" w:after="0" w:line="360" w:lineRule="auto"/>
              <w:jc w:val="both"/>
              <w:rPr>
                <w:rFonts w:ascii="Arial" w:hAnsi="Arial" w:cs="Arial"/>
                <w:color w:val="000000"/>
                <w:sz w:val="20"/>
                <w:szCs w:val="20"/>
              </w:rPr>
            </w:pPr>
            <w:r w:rsidRPr="002A3F86">
              <w:rPr>
                <w:rFonts w:ascii="Arial" w:hAnsi="Arial" w:cs="Arial"/>
                <w:color w:val="000000"/>
                <w:sz w:val="20"/>
                <w:szCs w:val="20"/>
              </w:rPr>
              <w:t>Políticas administrativas institucionales que ocasionen cambios en la ejecución de recursos y generen ahorros o mayor gasto.</w:t>
            </w:r>
          </w:p>
          <w:p w14:paraId="1E7830BF" w14:textId="63AD48F2" w:rsidR="00046830" w:rsidRPr="002A3F86" w:rsidRDefault="007A015A" w:rsidP="00F959E6">
            <w:pPr>
              <w:spacing w:before="240" w:after="0" w:line="360" w:lineRule="auto"/>
              <w:jc w:val="both"/>
              <w:rPr>
                <w:rFonts w:ascii="Arial" w:eastAsia="Times New Roman" w:hAnsi="Arial" w:cs="Arial"/>
                <w:color w:val="000000"/>
                <w:sz w:val="20"/>
                <w:szCs w:val="20"/>
                <w:lang w:val="es-CR" w:eastAsia="es-CR"/>
              </w:rPr>
            </w:pPr>
            <w:r w:rsidRPr="002A3F86">
              <w:rPr>
                <w:rFonts w:ascii="Arial" w:hAnsi="Arial" w:cs="Arial"/>
                <w:color w:val="000000"/>
                <w:sz w:val="20"/>
                <w:szCs w:val="20"/>
              </w:rPr>
              <w:t>Problemas relacionados con los procesos de contratación administrativa.</w:t>
            </w:r>
          </w:p>
        </w:tc>
        <w:tc>
          <w:tcPr>
            <w:tcW w:w="2506" w:type="dxa"/>
            <w:tcBorders>
              <w:top w:val="single" w:sz="8" w:space="0" w:color="4472C4"/>
              <w:left w:val="nil"/>
              <w:bottom w:val="single" w:sz="8" w:space="0" w:color="4472C4"/>
              <w:right w:val="single" w:sz="8" w:space="0" w:color="4F81BD"/>
            </w:tcBorders>
            <w:shd w:val="clear" w:color="auto" w:fill="auto"/>
            <w:hideMark/>
          </w:tcPr>
          <w:p w14:paraId="427810C3" w14:textId="20A56102" w:rsidR="000E0071" w:rsidRPr="002A3F86" w:rsidRDefault="000E0071" w:rsidP="00F959E6">
            <w:pPr>
              <w:pStyle w:val="Prrafodelista"/>
              <w:spacing w:before="240" w:after="240" w:line="360" w:lineRule="auto"/>
              <w:ind w:left="0"/>
              <w:jc w:val="both"/>
              <w:rPr>
                <w:rFonts w:ascii="Arial" w:hAnsi="Arial" w:cs="Arial"/>
                <w:color w:val="000000"/>
                <w:sz w:val="20"/>
                <w:szCs w:val="20"/>
              </w:rPr>
            </w:pPr>
            <w:r w:rsidRPr="002A3F86">
              <w:rPr>
                <w:rFonts w:ascii="Arial" w:hAnsi="Arial" w:cs="Arial"/>
                <w:color w:val="000000"/>
                <w:sz w:val="20"/>
                <w:szCs w:val="20"/>
              </w:rPr>
              <w:t>Por la emergencia covid-19, se ha implementado la modalidad de teletrabajo, y con ella las reuniones virtuales, lo que ha generado una mayor eficiencia en el uso de recursos como combustibles y lubricantes, al disminuirse la cantidad de giras y reuniones presenciales; por lo que por parte de la Oficina de Presupuesto se analizarán las compras programadas y se coordinará con la Oficina de Servicios Generales, para que analicen las necesidades actuales de la flotilla vehicular, para que se gestionen las compras de repuestos y lubricantes de acuerdo a lo presupuestado.</w:t>
            </w:r>
          </w:p>
          <w:p w14:paraId="03F2CE41" w14:textId="7FF0B698" w:rsidR="00046830" w:rsidRPr="002A3F86" w:rsidRDefault="000E0071" w:rsidP="00F959E6">
            <w:pPr>
              <w:spacing w:after="0" w:line="360" w:lineRule="auto"/>
              <w:jc w:val="both"/>
              <w:rPr>
                <w:rFonts w:ascii="Arial" w:hAnsi="Arial" w:cs="Arial"/>
                <w:color w:val="000000"/>
                <w:sz w:val="20"/>
                <w:szCs w:val="20"/>
              </w:rPr>
            </w:pPr>
            <w:r w:rsidRPr="002A3F86">
              <w:rPr>
                <w:rFonts w:ascii="Arial" w:hAnsi="Arial" w:cs="Arial"/>
                <w:color w:val="000000"/>
                <w:sz w:val="20"/>
                <w:szCs w:val="20"/>
              </w:rPr>
              <w:t xml:space="preserve">Se ha implementado políticas de </w:t>
            </w:r>
            <w:proofErr w:type="gramStart"/>
            <w:r w:rsidRPr="002A3F86">
              <w:rPr>
                <w:rFonts w:ascii="Arial" w:hAnsi="Arial" w:cs="Arial"/>
                <w:color w:val="000000"/>
                <w:sz w:val="20"/>
                <w:szCs w:val="20"/>
              </w:rPr>
              <w:t>cero papel</w:t>
            </w:r>
            <w:proofErr w:type="gramEnd"/>
            <w:r w:rsidRPr="002A3F86">
              <w:rPr>
                <w:rFonts w:ascii="Arial" w:hAnsi="Arial" w:cs="Arial"/>
                <w:color w:val="000000"/>
                <w:sz w:val="20"/>
                <w:szCs w:val="20"/>
              </w:rPr>
              <w:t xml:space="preserve">, lo que ha disminuido el consumo del mismo, así como otros consumibles </w:t>
            </w:r>
            <w:r w:rsidRPr="002A3F86">
              <w:rPr>
                <w:rFonts w:ascii="Arial" w:hAnsi="Arial" w:cs="Arial"/>
                <w:color w:val="000000"/>
                <w:sz w:val="20"/>
                <w:szCs w:val="20"/>
              </w:rPr>
              <w:lastRenderedPageBreak/>
              <w:t xml:space="preserve">como tintas para impresoras, lapiceros, gomas, ampos entre otros insumos más; por ello, se le solicitará a la Oficina de </w:t>
            </w:r>
            <w:proofErr w:type="spellStart"/>
            <w:r w:rsidRPr="002A3F86">
              <w:rPr>
                <w:rFonts w:ascii="Arial" w:hAnsi="Arial" w:cs="Arial"/>
                <w:color w:val="000000"/>
                <w:sz w:val="20"/>
                <w:szCs w:val="20"/>
              </w:rPr>
              <w:t>Proveduría</w:t>
            </w:r>
            <w:proofErr w:type="spellEnd"/>
            <w:r w:rsidRPr="002A3F86">
              <w:rPr>
                <w:rFonts w:ascii="Arial" w:hAnsi="Arial" w:cs="Arial"/>
                <w:color w:val="000000"/>
                <w:sz w:val="20"/>
                <w:szCs w:val="20"/>
              </w:rPr>
              <w:t>, que sea revisado el inventario actual, para gestionar las compras ya programadas de acuerdo a las necesidades institucionales.</w:t>
            </w:r>
            <w:r w:rsidR="00046830" w:rsidRPr="002A3F86">
              <w:rPr>
                <w:rFonts w:ascii="Arial" w:hAnsi="Arial" w:cs="Arial"/>
                <w:color w:val="000000"/>
                <w:sz w:val="20"/>
                <w:szCs w:val="20"/>
              </w:rPr>
              <w:t xml:space="preserve">                                                                                  </w:t>
            </w:r>
            <w:r w:rsidRPr="002A3F86">
              <w:rPr>
                <w:rFonts w:ascii="Arial" w:hAnsi="Arial" w:cs="Arial"/>
                <w:color w:val="000000"/>
                <w:sz w:val="20"/>
                <w:szCs w:val="20"/>
              </w:rPr>
              <w:t xml:space="preserve">Las compras de mayor costo económico se tienen programadas para el II semestre del 2021; razón por la cual se coordinará con la Oficina de </w:t>
            </w:r>
            <w:proofErr w:type="spellStart"/>
            <w:r w:rsidRPr="002A3F86">
              <w:rPr>
                <w:rFonts w:ascii="Arial" w:hAnsi="Arial" w:cs="Arial"/>
                <w:color w:val="000000"/>
                <w:sz w:val="20"/>
                <w:szCs w:val="20"/>
              </w:rPr>
              <w:t>Proveduría</w:t>
            </w:r>
            <w:proofErr w:type="spellEnd"/>
            <w:r w:rsidRPr="002A3F86">
              <w:rPr>
                <w:rFonts w:ascii="Arial" w:hAnsi="Arial" w:cs="Arial"/>
                <w:color w:val="000000"/>
                <w:sz w:val="20"/>
                <w:szCs w:val="20"/>
              </w:rPr>
              <w:t xml:space="preserve"> para que ejecuten las compras pendientes </w:t>
            </w:r>
            <w:proofErr w:type="gramStart"/>
            <w:r w:rsidRPr="002A3F86">
              <w:rPr>
                <w:rFonts w:ascii="Arial" w:hAnsi="Arial" w:cs="Arial"/>
                <w:color w:val="000000"/>
                <w:sz w:val="20"/>
                <w:szCs w:val="20"/>
              </w:rPr>
              <w:t>de acuerdo a</w:t>
            </w:r>
            <w:proofErr w:type="gramEnd"/>
            <w:r w:rsidRPr="002A3F86">
              <w:rPr>
                <w:rFonts w:ascii="Arial" w:hAnsi="Arial" w:cs="Arial"/>
                <w:color w:val="000000"/>
                <w:sz w:val="20"/>
                <w:szCs w:val="20"/>
              </w:rPr>
              <w:t xml:space="preserve"> lo programado y necesidades institucionales.</w:t>
            </w:r>
          </w:p>
        </w:tc>
        <w:tc>
          <w:tcPr>
            <w:tcW w:w="2835" w:type="dxa"/>
            <w:gridSpan w:val="3"/>
            <w:tcBorders>
              <w:top w:val="single" w:sz="8" w:space="0" w:color="4472C4"/>
              <w:left w:val="nil"/>
              <w:bottom w:val="single" w:sz="8" w:space="0" w:color="4472C4"/>
              <w:right w:val="single" w:sz="8" w:space="0" w:color="4472C4"/>
            </w:tcBorders>
            <w:shd w:val="clear" w:color="auto" w:fill="auto"/>
            <w:hideMark/>
          </w:tcPr>
          <w:p w14:paraId="1612E26D" w14:textId="47213D09" w:rsidR="00AD67DE" w:rsidRDefault="00046830" w:rsidP="00F959E6">
            <w:pPr>
              <w:spacing w:before="240" w:after="0" w:line="360" w:lineRule="auto"/>
              <w:jc w:val="both"/>
              <w:rPr>
                <w:rFonts w:ascii="Arial" w:hAnsi="Arial" w:cs="Arial"/>
                <w:color w:val="000000"/>
                <w:sz w:val="20"/>
                <w:szCs w:val="20"/>
              </w:rPr>
            </w:pPr>
            <w:r w:rsidRPr="002A3F86">
              <w:rPr>
                <w:rFonts w:ascii="Arial" w:hAnsi="Arial" w:cs="Arial"/>
                <w:color w:val="000000"/>
                <w:sz w:val="20"/>
                <w:szCs w:val="20"/>
              </w:rPr>
              <w:lastRenderedPageBreak/>
              <w:t>Se gestionaron compras de menor cuantía de repuesto, combustibles y lubricantes acorde con las necesidades de la flotilla institu</w:t>
            </w:r>
            <w:r w:rsidR="00AD2485" w:rsidRPr="002A3F86">
              <w:rPr>
                <w:rFonts w:ascii="Arial" w:hAnsi="Arial" w:cs="Arial"/>
                <w:color w:val="000000"/>
                <w:sz w:val="20"/>
                <w:szCs w:val="20"/>
              </w:rPr>
              <w:t>ci</w:t>
            </w:r>
            <w:r w:rsidRPr="002A3F86">
              <w:rPr>
                <w:rFonts w:ascii="Arial" w:hAnsi="Arial" w:cs="Arial"/>
                <w:color w:val="000000"/>
                <w:sz w:val="20"/>
                <w:szCs w:val="20"/>
              </w:rPr>
              <w:t>onal y servicio de transporte brindado a los funcionarios por reuniones o giras programadas.</w:t>
            </w:r>
          </w:p>
          <w:p w14:paraId="7508EDDC" w14:textId="612F6DCA" w:rsidR="00EE6BB1" w:rsidRPr="002A3F86" w:rsidRDefault="00046830" w:rsidP="00F959E6">
            <w:pPr>
              <w:spacing w:before="240" w:after="0" w:line="360" w:lineRule="auto"/>
              <w:jc w:val="both"/>
              <w:rPr>
                <w:rFonts w:ascii="Arial" w:hAnsi="Arial" w:cs="Arial"/>
                <w:color w:val="000000"/>
                <w:sz w:val="20"/>
                <w:szCs w:val="20"/>
              </w:rPr>
            </w:pPr>
            <w:r w:rsidRPr="002A3F86">
              <w:rPr>
                <w:rFonts w:ascii="Arial" w:hAnsi="Arial" w:cs="Arial"/>
                <w:color w:val="000000"/>
                <w:sz w:val="20"/>
                <w:szCs w:val="20"/>
              </w:rPr>
              <w:t xml:space="preserve">Las políticas de 0 </w:t>
            </w:r>
            <w:proofErr w:type="gramStart"/>
            <w:r w:rsidRPr="002A3F86">
              <w:rPr>
                <w:rFonts w:ascii="Arial" w:hAnsi="Arial" w:cs="Arial"/>
                <w:color w:val="000000"/>
                <w:sz w:val="20"/>
                <w:szCs w:val="20"/>
              </w:rPr>
              <w:t>papel,</w:t>
            </w:r>
            <w:proofErr w:type="gramEnd"/>
            <w:r w:rsidRPr="002A3F86">
              <w:rPr>
                <w:rFonts w:ascii="Arial" w:hAnsi="Arial" w:cs="Arial"/>
                <w:color w:val="000000"/>
                <w:sz w:val="20"/>
                <w:szCs w:val="20"/>
              </w:rPr>
              <w:t xml:space="preserve"> han logrado disminuir el consumo de papel y otros consumibles como tintas, tóner, lapiceros y lápices entre otros.</w:t>
            </w:r>
          </w:p>
          <w:p w14:paraId="14DF564D" w14:textId="7393D152" w:rsidR="00046830" w:rsidRPr="002A3F86" w:rsidRDefault="00046830" w:rsidP="00F959E6">
            <w:pPr>
              <w:spacing w:before="240" w:after="0" w:line="360" w:lineRule="auto"/>
              <w:jc w:val="both"/>
              <w:rPr>
                <w:rFonts w:ascii="Arial" w:eastAsia="Times New Roman" w:hAnsi="Arial" w:cs="Arial"/>
                <w:color w:val="000000"/>
                <w:sz w:val="20"/>
                <w:szCs w:val="20"/>
                <w:lang w:val="es-CR" w:eastAsia="es-CR"/>
              </w:rPr>
            </w:pPr>
            <w:r w:rsidRPr="002A3F86">
              <w:rPr>
                <w:rFonts w:ascii="Arial" w:hAnsi="Arial" w:cs="Arial"/>
                <w:color w:val="000000"/>
                <w:sz w:val="20"/>
                <w:szCs w:val="20"/>
              </w:rPr>
              <w:t>Las compras de mayor costo económico no fueron realizadas, debido a que se recibieron muy pocas solicitudes por parte de las Unidades del Instituto, por lo que no se gestionaron las compras que estaban planificadas.</w:t>
            </w:r>
          </w:p>
        </w:tc>
      </w:tr>
      <w:tr w:rsidR="00046830" w:rsidRPr="007810B9" w14:paraId="6A14529B" w14:textId="77777777" w:rsidTr="00140BF3">
        <w:trPr>
          <w:gridAfter w:val="2"/>
          <w:wAfter w:w="702" w:type="dxa"/>
          <w:trHeight w:val="825"/>
        </w:trPr>
        <w:tc>
          <w:tcPr>
            <w:tcW w:w="1463" w:type="dxa"/>
            <w:tcBorders>
              <w:top w:val="nil"/>
              <w:left w:val="single" w:sz="8" w:space="0" w:color="4472C4"/>
              <w:bottom w:val="single" w:sz="8" w:space="0" w:color="4472C4"/>
              <w:right w:val="single" w:sz="8" w:space="0" w:color="4F81BD"/>
            </w:tcBorders>
            <w:shd w:val="clear" w:color="auto" w:fill="auto"/>
            <w:hideMark/>
          </w:tcPr>
          <w:p w14:paraId="7F9E50BC" w14:textId="42230C11" w:rsidR="00046830" w:rsidRPr="0097367D" w:rsidRDefault="00046830" w:rsidP="00F959E6">
            <w:pPr>
              <w:spacing w:before="240" w:after="0" w:line="360" w:lineRule="auto"/>
              <w:jc w:val="both"/>
              <w:rPr>
                <w:rFonts w:ascii="Arial" w:hAnsi="Arial" w:cs="Arial"/>
                <w:color w:val="000000"/>
                <w:sz w:val="20"/>
                <w:szCs w:val="20"/>
              </w:rPr>
            </w:pPr>
            <w:r w:rsidRPr="0097367D">
              <w:rPr>
                <w:rFonts w:ascii="Arial" w:hAnsi="Arial" w:cs="Arial"/>
                <w:color w:val="000000"/>
                <w:sz w:val="20"/>
                <w:szCs w:val="20"/>
              </w:rPr>
              <w:t>Bienes Duraderos.</w:t>
            </w:r>
          </w:p>
        </w:tc>
        <w:tc>
          <w:tcPr>
            <w:tcW w:w="1843" w:type="dxa"/>
            <w:gridSpan w:val="2"/>
            <w:tcBorders>
              <w:top w:val="nil"/>
              <w:left w:val="nil"/>
              <w:bottom w:val="single" w:sz="8" w:space="0" w:color="4472C4"/>
              <w:right w:val="single" w:sz="8" w:space="0" w:color="4F81BD"/>
            </w:tcBorders>
            <w:shd w:val="clear" w:color="auto" w:fill="auto"/>
            <w:hideMark/>
          </w:tcPr>
          <w:p w14:paraId="73BA0404" w14:textId="08D2290F" w:rsidR="0097367D" w:rsidRPr="0097367D" w:rsidRDefault="0097367D" w:rsidP="00F959E6">
            <w:pPr>
              <w:spacing w:after="0" w:line="360" w:lineRule="auto"/>
              <w:ind w:right="-1"/>
              <w:jc w:val="both"/>
              <w:rPr>
                <w:rFonts w:ascii="Arial" w:hAnsi="Arial" w:cs="Arial"/>
                <w:sz w:val="20"/>
                <w:szCs w:val="20"/>
                <w:lang w:val="es-CR"/>
              </w:rPr>
            </w:pPr>
            <w:r w:rsidRPr="0097367D">
              <w:rPr>
                <w:rFonts w:ascii="Arial" w:hAnsi="Arial" w:cs="Arial"/>
                <w:sz w:val="20"/>
                <w:szCs w:val="20"/>
                <w:lang w:val="es-CR"/>
              </w:rPr>
              <w:t>Metas cuyo cumplimiento se planifica concretar en el segundo semestre.</w:t>
            </w:r>
          </w:p>
          <w:p w14:paraId="7E1018E1" w14:textId="77777777" w:rsidR="0097367D" w:rsidRPr="0097367D" w:rsidRDefault="0097367D" w:rsidP="00F959E6">
            <w:pPr>
              <w:spacing w:after="0" w:line="360" w:lineRule="auto"/>
              <w:ind w:right="-1"/>
              <w:jc w:val="both"/>
              <w:rPr>
                <w:rFonts w:ascii="Arial" w:hAnsi="Arial" w:cs="Arial"/>
                <w:sz w:val="20"/>
                <w:szCs w:val="20"/>
                <w:lang w:val="es-CR"/>
              </w:rPr>
            </w:pPr>
          </w:p>
          <w:p w14:paraId="5CFEB325" w14:textId="73DCF0D5" w:rsidR="0097367D" w:rsidRPr="0097367D" w:rsidRDefault="007A015A" w:rsidP="00F959E6">
            <w:pPr>
              <w:spacing w:after="0" w:line="360" w:lineRule="auto"/>
              <w:ind w:right="-1"/>
              <w:jc w:val="both"/>
              <w:rPr>
                <w:rFonts w:ascii="Arial" w:hAnsi="Arial" w:cs="Arial"/>
                <w:color w:val="000000"/>
                <w:sz w:val="20"/>
                <w:szCs w:val="20"/>
              </w:rPr>
            </w:pPr>
            <w:r w:rsidRPr="0097367D">
              <w:rPr>
                <w:rFonts w:ascii="Arial" w:hAnsi="Arial" w:cs="Arial"/>
                <w:color w:val="000000"/>
                <w:sz w:val="20"/>
                <w:szCs w:val="20"/>
              </w:rPr>
              <w:t xml:space="preserve">Políticas administrativas institucionales que ocasionen cambios en la ejecución de recursos y generen </w:t>
            </w:r>
            <w:r w:rsidRPr="0097367D">
              <w:rPr>
                <w:rFonts w:ascii="Arial" w:hAnsi="Arial" w:cs="Arial"/>
                <w:color w:val="000000"/>
                <w:sz w:val="20"/>
                <w:szCs w:val="20"/>
              </w:rPr>
              <w:lastRenderedPageBreak/>
              <w:t>ahorros o mayor gasto.</w:t>
            </w:r>
          </w:p>
          <w:p w14:paraId="778C3035" w14:textId="017DD814" w:rsidR="00046830" w:rsidRPr="0097367D" w:rsidRDefault="007A015A" w:rsidP="00F959E6">
            <w:pPr>
              <w:spacing w:before="240" w:after="0" w:line="360" w:lineRule="auto"/>
              <w:jc w:val="both"/>
              <w:rPr>
                <w:rFonts w:ascii="Arial" w:hAnsi="Arial" w:cs="Arial"/>
                <w:color w:val="000000"/>
                <w:sz w:val="20"/>
                <w:szCs w:val="20"/>
              </w:rPr>
            </w:pPr>
            <w:r w:rsidRPr="0097367D">
              <w:rPr>
                <w:rFonts w:ascii="Arial" w:hAnsi="Arial" w:cs="Arial"/>
                <w:color w:val="000000"/>
                <w:sz w:val="20"/>
                <w:szCs w:val="20"/>
              </w:rPr>
              <w:t>Variación en la estimación de recursos.</w:t>
            </w:r>
            <w:r w:rsidR="006B136E">
              <w:rPr>
                <w:rFonts w:ascii="Arial" w:hAnsi="Arial" w:cs="Arial"/>
                <w:color w:val="000000"/>
                <w:sz w:val="20"/>
                <w:szCs w:val="20"/>
              </w:rPr>
              <w:t xml:space="preserve"> (</w:t>
            </w:r>
            <w:r w:rsidR="00046830" w:rsidRPr="0097367D">
              <w:rPr>
                <w:rFonts w:ascii="Arial" w:hAnsi="Arial" w:cs="Arial"/>
                <w:color w:val="000000"/>
                <w:sz w:val="20"/>
                <w:szCs w:val="20"/>
              </w:rPr>
              <w:t>Acuerdos de Consejo Directivo para poder trasladar bienes a otras instituciones</w:t>
            </w:r>
            <w:r w:rsidR="006B136E">
              <w:rPr>
                <w:rFonts w:ascii="Arial" w:hAnsi="Arial" w:cs="Arial"/>
                <w:color w:val="000000"/>
                <w:sz w:val="20"/>
                <w:szCs w:val="20"/>
              </w:rPr>
              <w:t>).</w:t>
            </w:r>
          </w:p>
        </w:tc>
        <w:tc>
          <w:tcPr>
            <w:tcW w:w="2506" w:type="dxa"/>
            <w:tcBorders>
              <w:top w:val="nil"/>
              <w:left w:val="nil"/>
              <w:bottom w:val="single" w:sz="8" w:space="0" w:color="4472C4"/>
              <w:right w:val="single" w:sz="8" w:space="0" w:color="4F81BD"/>
            </w:tcBorders>
            <w:shd w:val="clear" w:color="auto" w:fill="auto"/>
            <w:hideMark/>
          </w:tcPr>
          <w:p w14:paraId="7238641D" w14:textId="1C5320C3" w:rsidR="006B136E" w:rsidRDefault="006B136E" w:rsidP="00F959E6">
            <w:pPr>
              <w:spacing w:before="240" w:after="0" w:line="360" w:lineRule="auto"/>
              <w:jc w:val="both"/>
              <w:rPr>
                <w:rFonts w:ascii="Arial" w:hAnsi="Arial" w:cs="Arial"/>
                <w:color w:val="000000"/>
                <w:sz w:val="20"/>
                <w:szCs w:val="20"/>
              </w:rPr>
            </w:pPr>
            <w:r w:rsidRPr="006B136E">
              <w:rPr>
                <w:rFonts w:ascii="Arial" w:hAnsi="Arial" w:cs="Arial"/>
                <w:color w:val="000000"/>
                <w:sz w:val="20"/>
                <w:szCs w:val="20"/>
              </w:rPr>
              <w:lastRenderedPageBreak/>
              <w:t>Se encuentra en espera de la liberación de la modificación presupuestaria   H-018 en la que se adicionan recursos para el cumplimiento del compromiso adquirido con SENASA</w:t>
            </w:r>
          </w:p>
          <w:p w14:paraId="17DEC51D" w14:textId="053C37E1" w:rsidR="00F11E8B" w:rsidRPr="002A3F86" w:rsidRDefault="00F11E8B" w:rsidP="00F959E6">
            <w:pPr>
              <w:spacing w:before="240" w:after="0" w:line="360" w:lineRule="auto"/>
              <w:jc w:val="both"/>
              <w:rPr>
                <w:rFonts w:ascii="Arial" w:hAnsi="Arial" w:cs="Arial"/>
                <w:color w:val="000000"/>
                <w:sz w:val="20"/>
                <w:szCs w:val="20"/>
              </w:rPr>
            </w:pPr>
            <w:r w:rsidRPr="002A3F86">
              <w:rPr>
                <w:rFonts w:ascii="Arial" w:hAnsi="Arial" w:cs="Arial"/>
                <w:color w:val="000000"/>
                <w:sz w:val="20"/>
                <w:szCs w:val="20"/>
              </w:rPr>
              <w:t xml:space="preserve">El Instituto al incluir dentro de sus plataformas, el </w:t>
            </w:r>
            <w:r w:rsidRPr="002A3F86">
              <w:rPr>
                <w:rFonts w:ascii="Arial" w:hAnsi="Arial" w:cs="Arial"/>
                <w:color w:val="000000"/>
                <w:sz w:val="20"/>
                <w:szCs w:val="20"/>
              </w:rPr>
              <w:lastRenderedPageBreak/>
              <w:t>office 365, permite que los compromisos que estaban programados por parte de la Unidad de Inteligencia Financiera deban ser readecuados, por lo que se coordinará con esta para que realicen una nueva priorización en sus necesidades.</w:t>
            </w:r>
          </w:p>
          <w:p w14:paraId="583C990A" w14:textId="52E122A4" w:rsidR="00F11E8B" w:rsidRPr="002A3F86" w:rsidRDefault="00F11E8B" w:rsidP="00F959E6">
            <w:pPr>
              <w:spacing w:before="240" w:after="0" w:line="360" w:lineRule="auto"/>
              <w:jc w:val="both"/>
              <w:rPr>
                <w:rFonts w:ascii="Arial" w:hAnsi="Arial" w:cs="Arial"/>
                <w:color w:val="000000"/>
                <w:sz w:val="20"/>
                <w:szCs w:val="20"/>
              </w:rPr>
            </w:pPr>
            <w:r w:rsidRPr="002A3F86">
              <w:rPr>
                <w:rFonts w:ascii="Arial" w:hAnsi="Arial" w:cs="Arial"/>
                <w:color w:val="000000"/>
                <w:sz w:val="20"/>
                <w:szCs w:val="20"/>
              </w:rPr>
              <w:t>Se dará seguimiento a la Unidad de Control y Fiscalización de Precursores, para que la compra del equipo, como pipetas, sea adquirido dentro del segundo semestre, de acuerdo con las necesidades de esta.</w:t>
            </w:r>
          </w:p>
          <w:p w14:paraId="58226174" w14:textId="3BEB3258" w:rsidR="00046830" w:rsidRPr="002A3F86" w:rsidRDefault="00F11E8B" w:rsidP="00F959E6">
            <w:pPr>
              <w:spacing w:before="240" w:after="0" w:line="360" w:lineRule="auto"/>
              <w:jc w:val="both"/>
              <w:rPr>
                <w:rFonts w:ascii="Arial" w:hAnsi="Arial" w:cs="Arial"/>
                <w:color w:val="000000"/>
                <w:sz w:val="20"/>
                <w:szCs w:val="20"/>
              </w:rPr>
            </w:pPr>
            <w:r w:rsidRPr="002A3F86">
              <w:rPr>
                <w:rFonts w:ascii="Arial" w:hAnsi="Arial" w:cs="Arial"/>
                <w:color w:val="000000"/>
                <w:sz w:val="20"/>
                <w:szCs w:val="20"/>
              </w:rPr>
              <w:t xml:space="preserve">Se deben finalizar acuerdos de cooperación interinstitucionales para la </w:t>
            </w:r>
            <w:proofErr w:type="spellStart"/>
            <w:r w:rsidRPr="002A3F86">
              <w:rPr>
                <w:rFonts w:ascii="Arial" w:hAnsi="Arial" w:cs="Arial"/>
                <w:color w:val="000000"/>
                <w:sz w:val="20"/>
                <w:szCs w:val="20"/>
              </w:rPr>
              <w:t>adquisión</w:t>
            </w:r>
            <w:proofErr w:type="spellEnd"/>
            <w:r w:rsidRPr="002A3F86">
              <w:rPr>
                <w:rFonts w:ascii="Arial" w:hAnsi="Arial" w:cs="Arial"/>
                <w:color w:val="000000"/>
                <w:sz w:val="20"/>
                <w:szCs w:val="20"/>
              </w:rPr>
              <w:t xml:space="preserve"> de algunos activos, orientados al cumplimiento de algunas metas y objetivos del Plan Nacional Sobre Drogas, cuyo usuario final no es el Instituto Costarricense Sobre Drogas</w:t>
            </w:r>
          </w:p>
        </w:tc>
        <w:tc>
          <w:tcPr>
            <w:tcW w:w="2835" w:type="dxa"/>
            <w:gridSpan w:val="3"/>
            <w:tcBorders>
              <w:top w:val="nil"/>
              <w:left w:val="nil"/>
              <w:bottom w:val="single" w:sz="8" w:space="0" w:color="4472C4"/>
              <w:right w:val="single" w:sz="8" w:space="0" w:color="4472C4"/>
            </w:tcBorders>
            <w:shd w:val="clear" w:color="auto" w:fill="auto"/>
            <w:hideMark/>
          </w:tcPr>
          <w:p w14:paraId="52224FC6" w14:textId="04B5055D" w:rsidR="006B136E" w:rsidRDefault="006B136E" w:rsidP="00F959E6">
            <w:pPr>
              <w:spacing w:before="240" w:after="0" w:line="360" w:lineRule="auto"/>
              <w:jc w:val="both"/>
              <w:rPr>
                <w:rFonts w:ascii="Arial" w:hAnsi="Arial" w:cs="Arial"/>
                <w:color w:val="000000"/>
                <w:sz w:val="20"/>
                <w:szCs w:val="20"/>
              </w:rPr>
            </w:pPr>
            <w:r>
              <w:rPr>
                <w:rFonts w:ascii="Arial" w:hAnsi="Arial" w:cs="Arial"/>
                <w:color w:val="000000"/>
                <w:sz w:val="20"/>
                <w:szCs w:val="20"/>
              </w:rPr>
              <w:lastRenderedPageBreak/>
              <w:t>No fue posible cumplir con el compromiso</w:t>
            </w:r>
            <w:r w:rsidR="0044250C">
              <w:rPr>
                <w:rFonts w:ascii="Arial" w:hAnsi="Arial" w:cs="Arial"/>
                <w:color w:val="000000"/>
                <w:sz w:val="20"/>
                <w:szCs w:val="20"/>
              </w:rPr>
              <w:t>, con SENASA, porque no se inscribió el proyecto por dificultades en las descripciones técnicas de los bienes requeridos.</w:t>
            </w:r>
          </w:p>
          <w:p w14:paraId="47F736E7" w14:textId="58305B10" w:rsidR="00CD1404" w:rsidRPr="002A3F86" w:rsidRDefault="00F43381" w:rsidP="00F959E6">
            <w:pPr>
              <w:spacing w:before="240" w:after="0" w:line="360" w:lineRule="auto"/>
              <w:jc w:val="both"/>
              <w:rPr>
                <w:rFonts w:ascii="Arial" w:hAnsi="Arial" w:cs="Arial"/>
                <w:color w:val="000000"/>
                <w:sz w:val="20"/>
                <w:szCs w:val="20"/>
              </w:rPr>
            </w:pPr>
            <w:r w:rsidRPr="002A3F86">
              <w:rPr>
                <w:rFonts w:ascii="Arial" w:hAnsi="Arial" w:cs="Arial"/>
                <w:color w:val="000000"/>
                <w:sz w:val="20"/>
                <w:szCs w:val="20"/>
              </w:rPr>
              <w:t xml:space="preserve">Se implementó </w:t>
            </w:r>
            <w:r w:rsidR="003961B2" w:rsidRPr="002A3F86">
              <w:rPr>
                <w:rFonts w:ascii="Arial" w:hAnsi="Arial" w:cs="Arial"/>
                <w:color w:val="000000"/>
                <w:sz w:val="20"/>
                <w:szCs w:val="20"/>
              </w:rPr>
              <w:t xml:space="preserve">nuevo equipo de cómputo y plataforma tecnológica la cual incluyó el office 365, permitiendo a la Unidad de Inteligencia </w:t>
            </w:r>
            <w:r w:rsidR="003961B2" w:rsidRPr="002A3F86">
              <w:rPr>
                <w:rFonts w:ascii="Arial" w:hAnsi="Arial" w:cs="Arial"/>
                <w:color w:val="000000"/>
                <w:sz w:val="20"/>
                <w:szCs w:val="20"/>
              </w:rPr>
              <w:lastRenderedPageBreak/>
              <w:t>Financiera cumplir con los compromisos programados, sin tener que realizar nuevas inversiones adicionales.</w:t>
            </w:r>
          </w:p>
          <w:p w14:paraId="588E902E" w14:textId="57C87C01" w:rsidR="00CD1404" w:rsidRPr="002A3F86" w:rsidRDefault="00A37B3D" w:rsidP="00F959E6">
            <w:pPr>
              <w:spacing w:before="240" w:after="0" w:line="360" w:lineRule="auto"/>
              <w:jc w:val="both"/>
              <w:rPr>
                <w:rFonts w:ascii="Arial" w:hAnsi="Arial" w:cs="Arial"/>
                <w:color w:val="000000"/>
                <w:sz w:val="20"/>
                <w:szCs w:val="20"/>
              </w:rPr>
            </w:pPr>
            <w:r w:rsidRPr="002A3F86">
              <w:rPr>
                <w:rFonts w:ascii="Arial" w:hAnsi="Arial" w:cs="Arial"/>
                <w:color w:val="000000"/>
                <w:sz w:val="20"/>
                <w:szCs w:val="20"/>
              </w:rPr>
              <w:t xml:space="preserve">En cuanto a </w:t>
            </w:r>
            <w:r w:rsidR="003E2467" w:rsidRPr="002A3F86">
              <w:rPr>
                <w:rFonts w:ascii="Arial" w:hAnsi="Arial" w:cs="Arial"/>
                <w:color w:val="000000"/>
                <w:sz w:val="20"/>
                <w:szCs w:val="20"/>
              </w:rPr>
              <w:t>la compra de equipo, la Unidad de Control y Fiscalización no realizó procesos</w:t>
            </w:r>
            <w:r w:rsidR="00CD1404" w:rsidRPr="002A3F86">
              <w:rPr>
                <w:rFonts w:ascii="Arial" w:hAnsi="Arial" w:cs="Arial"/>
                <w:color w:val="000000"/>
                <w:sz w:val="20"/>
                <w:szCs w:val="20"/>
              </w:rPr>
              <w:t xml:space="preserve"> de contratación administrativa.</w:t>
            </w:r>
          </w:p>
          <w:p w14:paraId="3A019740" w14:textId="53D73083" w:rsidR="00046830" w:rsidRPr="002A3F86" w:rsidRDefault="00EC4406" w:rsidP="00F959E6">
            <w:pPr>
              <w:spacing w:before="240" w:after="0" w:line="360" w:lineRule="auto"/>
              <w:jc w:val="both"/>
              <w:rPr>
                <w:rFonts w:ascii="Arial" w:hAnsi="Arial" w:cs="Arial"/>
                <w:color w:val="000000"/>
                <w:sz w:val="20"/>
                <w:szCs w:val="20"/>
              </w:rPr>
            </w:pPr>
            <w:r w:rsidRPr="002A3F86">
              <w:rPr>
                <w:rFonts w:ascii="Arial" w:hAnsi="Arial" w:cs="Arial"/>
                <w:color w:val="000000"/>
                <w:sz w:val="20"/>
                <w:szCs w:val="20"/>
              </w:rPr>
              <w:t>Se debía realizar compra de actualización de licencias de software</w:t>
            </w:r>
            <w:r w:rsidR="009B5993" w:rsidRPr="002A3F86">
              <w:rPr>
                <w:rFonts w:ascii="Arial" w:hAnsi="Arial" w:cs="Arial"/>
                <w:color w:val="000000"/>
                <w:sz w:val="20"/>
                <w:szCs w:val="20"/>
              </w:rPr>
              <w:t xml:space="preserve"> del Servicio Nacional de Aduanas, se logró realizar la inscripción en el Banco de Proyectos de Inversión Pública, sin embargo</w:t>
            </w:r>
            <w:r w:rsidR="00EE6BB1" w:rsidRPr="002A3F86">
              <w:rPr>
                <w:rFonts w:ascii="Arial" w:hAnsi="Arial" w:cs="Arial"/>
                <w:color w:val="000000"/>
                <w:sz w:val="20"/>
                <w:szCs w:val="20"/>
              </w:rPr>
              <w:t>,</w:t>
            </w:r>
            <w:r w:rsidR="009B5993" w:rsidRPr="002A3F86">
              <w:rPr>
                <w:rFonts w:ascii="Arial" w:hAnsi="Arial" w:cs="Arial"/>
                <w:color w:val="000000"/>
                <w:sz w:val="20"/>
                <w:szCs w:val="20"/>
              </w:rPr>
              <w:t xml:space="preserve"> no se </w:t>
            </w:r>
            <w:r w:rsidR="00AB3DC8" w:rsidRPr="002A3F86">
              <w:rPr>
                <w:rFonts w:ascii="Arial" w:hAnsi="Arial" w:cs="Arial"/>
                <w:color w:val="000000"/>
                <w:sz w:val="20"/>
                <w:szCs w:val="20"/>
              </w:rPr>
              <w:t>concluyó</w:t>
            </w:r>
            <w:r w:rsidR="009B5993" w:rsidRPr="002A3F86">
              <w:rPr>
                <w:rFonts w:ascii="Arial" w:hAnsi="Arial" w:cs="Arial"/>
                <w:color w:val="000000"/>
                <w:sz w:val="20"/>
                <w:szCs w:val="20"/>
              </w:rPr>
              <w:t xml:space="preserve"> el proceso a tiempo para poder realizar </w:t>
            </w:r>
            <w:r w:rsidR="00EE6BB1" w:rsidRPr="002A3F86">
              <w:rPr>
                <w:rFonts w:ascii="Arial" w:hAnsi="Arial" w:cs="Arial"/>
                <w:color w:val="000000"/>
                <w:sz w:val="20"/>
                <w:szCs w:val="20"/>
              </w:rPr>
              <w:t>el proceso de contratación administrativa</w:t>
            </w:r>
            <w:r w:rsidR="009B5993" w:rsidRPr="002A3F86">
              <w:rPr>
                <w:rFonts w:ascii="Arial" w:hAnsi="Arial" w:cs="Arial"/>
                <w:color w:val="000000"/>
                <w:sz w:val="20"/>
                <w:szCs w:val="20"/>
              </w:rPr>
              <w:t>.</w:t>
            </w:r>
          </w:p>
        </w:tc>
      </w:tr>
      <w:tr w:rsidR="00AD2485" w:rsidRPr="007810B9" w14:paraId="0E838F0C" w14:textId="77777777" w:rsidTr="00140BF3">
        <w:trPr>
          <w:gridAfter w:val="2"/>
          <w:wAfter w:w="702" w:type="dxa"/>
          <w:trHeight w:val="1114"/>
        </w:trPr>
        <w:tc>
          <w:tcPr>
            <w:tcW w:w="1463" w:type="dxa"/>
            <w:tcBorders>
              <w:top w:val="nil"/>
              <w:left w:val="single" w:sz="8" w:space="0" w:color="4472C4"/>
              <w:bottom w:val="single" w:sz="8" w:space="0" w:color="4472C4"/>
              <w:right w:val="single" w:sz="8" w:space="0" w:color="4F81BD"/>
            </w:tcBorders>
            <w:shd w:val="clear" w:color="auto" w:fill="auto"/>
          </w:tcPr>
          <w:p w14:paraId="36BB21A1" w14:textId="60CF1D84" w:rsidR="00AD2485" w:rsidRPr="002A3F86" w:rsidRDefault="00AD2485" w:rsidP="00F959E6">
            <w:pPr>
              <w:spacing w:before="240" w:after="0" w:line="360" w:lineRule="auto"/>
              <w:jc w:val="both"/>
              <w:rPr>
                <w:rFonts w:ascii="Arial" w:hAnsi="Arial" w:cs="Arial"/>
                <w:color w:val="000000"/>
                <w:sz w:val="20"/>
                <w:szCs w:val="20"/>
              </w:rPr>
            </w:pPr>
            <w:r w:rsidRPr="002A3F86">
              <w:rPr>
                <w:rFonts w:ascii="Arial" w:hAnsi="Arial" w:cs="Arial"/>
                <w:color w:val="000000"/>
                <w:sz w:val="20"/>
                <w:szCs w:val="20"/>
              </w:rPr>
              <w:lastRenderedPageBreak/>
              <w:t>Transferencias Corrientes</w:t>
            </w:r>
          </w:p>
        </w:tc>
        <w:tc>
          <w:tcPr>
            <w:tcW w:w="1843" w:type="dxa"/>
            <w:gridSpan w:val="2"/>
            <w:tcBorders>
              <w:top w:val="nil"/>
              <w:left w:val="nil"/>
              <w:bottom w:val="single" w:sz="8" w:space="0" w:color="4472C4"/>
              <w:right w:val="single" w:sz="8" w:space="0" w:color="4F81BD"/>
            </w:tcBorders>
            <w:shd w:val="clear" w:color="auto" w:fill="auto"/>
          </w:tcPr>
          <w:p w14:paraId="57BEB6C8" w14:textId="016CE2BE" w:rsidR="0097367D" w:rsidRPr="0097367D" w:rsidRDefault="0097367D" w:rsidP="00F959E6">
            <w:pPr>
              <w:spacing w:after="0" w:line="360" w:lineRule="auto"/>
              <w:ind w:right="-1"/>
              <w:jc w:val="both"/>
              <w:rPr>
                <w:rFonts w:ascii="Arial" w:hAnsi="Arial" w:cs="Arial"/>
                <w:sz w:val="20"/>
                <w:szCs w:val="20"/>
                <w:lang w:val="es-CR"/>
              </w:rPr>
            </w:pPr>
            <w:r w:rsidRPr="0097367D">
              <w:rPr>
                <w:rFonts w:ascii="Arial" w:hAnsi="Arial" w:cs="Arial"/>
                <w:sz w:val="20"/>
                <w:szCs w:val="20"/>
                <w:lang w:val="es-CR"/>
              </w:rPr>
              <w:t>Metas cuyo cumplimiento se planifica concretar en el segundo semestre.</w:t>
            </w:r>
          </w:p>
          <w:p w14:paraId="4405FCCC" w14:textId="505EA3C5" w:rsidR="00AD2485" w:rsidRPr="002A3F86" w:rsidRDefault="00AD2485" w:rsidP="00F959E6">
            <w:pPr>
              <w:spacing w:before="240" w:after="0" w:line="360" w:lineRule="auto"/>
              <w:jc w:val="both"/>
              <w:rPr>
                <w:rFonts w:ascii="Arial" w:hAnsi="Arial" w:cs="Arial"/>
                <w:color w:val="000000"/>
                <w:sz w:val="20"/>
                <w:szCs w:val="20"/>
              </w:rPr>
            </w:pPr>
            <w:r w:rsidRPr="002A3F86">
              <w:rPr>
                <w:rFonts w:ascii="Arial" w:hAnsi="Arial" w:cs="Arial"/>
                <w:color w:val="000000"/>
                <w:sz w:val="20"/>
                <w:szCs w:val="20"/>
              </w:rPr>
              <w:lastRenderedPageBreak/>
              <w:t>Cumplimiento de requisitos de asociaciones y fundaciones, para recibir fondos.</w:t>
            </w:r>
          </w:p>
        </w:tc>
        <w:tc>
          <w:tcPr>
            <w:tcW w:w="2506" w:type="dxa"/>
            <w:tcBorders>
              <w:top w:val="nil"/>
              <w:left w:val="nil"/>
              <w:bottom w:val="single" w:sz="8" w:space="0" w:color="4472C4"/>
              <w:right w:val="single" w:sz="8" w:space="0" w:color="4F81BD"/>
            </w:tcBorders>
            <w:shd w:val="clear" w:color="auto" w:fill="auto"/>
          </w:tcPr>
          <w:p w14:paraId="479DD1E7" w14:textId="77777777" w:rsidR="0044250C" w:rsidRPr="0044250C" w:rsidRDefault="0044250C" w:rsidP="00F959E6">
            <w:pPr>
              <w:spacing w:before="240" w:after="0" w:line="360" w:lineRule="auto"/>
              <w:jc w:val="both"/>
              <w:rPr>
                <w:rFonts w:ascii="Arial" w:eastAsia="Times New Roman" w:hAnsi="Arial" w:cs="Arial"/>
                <w:sz w:val="20"/>
                <w:szCs w:val="20"/>
                <w:lang w:val="es-CR" w:eastAsia="es-CR"/>
              </w:rPr>
            </w:pPr>
            <w:r w:rsidRPr="0044250C">
              <w:rPr>
                <w:rFonts w:ascii="Arial" w:eastAsia="Times New Roman" w:hAnsi="Arial" w:cs="Arial"/>
                <w:sz w:val="20"/>
                <w:szCs w:val="20"/>
                <w:lang w:val="es-CR" w:eastAsia="es-CR"/>
              </w:rPr>
              <w:lastRenderedPageBreak/>
              <w:t xml:space="preserve">Coordinar con la Unidad de Proyectos de Prevención, con el fin de que se dé el seguimiento a los acuerdos de Consejo </w:t>
            </w:r>
            <w:r w:rsidRPr="0044250C">
              <w:rPr>
                <w:rFonts w:ascii="Arial" w:eastAsia="Times New Roman" w:hAnsi="Arial" w:cs="Arial"/>
                <w:sz w:val="20"/>
                <w:szCs w:val="20"/>
                <w:lang w:val="es-CR" w:eastAsia="es-CR"/>
              </w:rPr>
              <w:lastRenderedPageBreak/>
              <w:t>Directivo para la respectiva ejecución.</w:t>
            </w:r>
          </w:p>
          <w:p w14:paraId="34BFF9BF" w14:textId="057A806F" w:rsidR="00AD2485" w:rsidRPr="0044250C" w:rsidRDefault="00F11E8B" w:rsidP="00F959E6">
            <w:pPr>
              <w:spacing w:before="240" w:after="0" w:line="360" w:lineRule="auto"/>
              <w:jc w:val="both"/>
              <w:rPr>
                <w:rFonts w:ascii="Arial" w:hAnsi="Arial" w:cs="Arial"/>
                <w:color w:val="000000"/>
                <w:sz w:val="20"/>
                <w:szCs w:val="20"/>
              </w:rPr>
            </w:pPr>
            <w:r w:rsidRPr="0044250C">
              <w:rPr>
                <w:rFonts w:ascii="Arial" w:hAnsi="Arial" w:cs="Arial"/>
                <w:color w:val="000000"/>
                <w:sz w:val="20"/>
                <w:szCs w:val="20"/>
              </w:rPr>
              <w:t>Coordinar con la Unidad de Proyectos de Prevención, con el fin de que se verifique a la brevedad posible que los entes beneficiarios, cuenten con todos los requisitos al día para la recepción de dichas transferencias.</w:t>
            </w:r>
          </w:p>
        </w:tc>
        <w:tc>
          <w:tcPr>
            <w:tcW w:w="2835" w:type="dxa"/>
            <w:gridSpan w:val="3"/>
            <w:tcBorders>
              <w:top w:val="nil"/>
              <w:left w:val="nil"/>
              <w:bottom w:val="single" w:sz="8" w:space="0" w:color="4472C4"/>
              <w:right w:val="single" w:sz="8" w:space="0" w:color="4472C4"/>
            </w:tcBorders>
            <w:shd w:val="clear" w:color="auto" w:fill="auto"/>
          </w:tcPr>
          <w:p w14:paraId="3DFA1D47" w14:textId="0716FABF" w:rsidR="0044250C" w:rsidRDefault="0044250C" w:rsidP="00F959E6">
            <w:pPr>
              <w:spacing w:before="240" w:after="0" w:line="360" w:lineRule="auto"/>
              <w:jc w:val="both"/>
              <w:rPr>
                <w:rFonts w:ascii="Arial" w:hAnsi="Arial" w:cs="Arial"/>
                <w:color w:val="000000"/>
                <w:sz w:val="20"/>
                <w:szCs w:val="20"/>
              </w:rPr>
            </w:pPr>
            <w:r>
              <w:rPr>
                <w:rFonts w:ascii="Arial" w:hAnsi="Arial" w:cs="Arial"/>
                <w:color w:val="000000"/>
                <w:sz w:val="20"/>
                <w:szCs w:val="20"/>
              </w:rPr>
              <w:lastRenderedPageBreak/>
              <w:t xml:space="preserve">Se </w:t>
            </w:r>
            <w:r w:rsidR="000353BD">
              <w:rPr>
                <w:rFonts w:ascii="Arial" w:hAnsi="Arial" w:cs="Arial"/>
                <w:color w:val="000000"/>
                <w:sz w:val="20"/>
                <w:szCs w:val="20"/>
              </w:rPr>
              <w:t>les</w:t>
            </w:r>
            <w:r>
              <w:rPr>
                <w:rFonts w:ascii="Arial" w:hAnsi="Arial" w:cs="Arial"/>
                <w:color w:val="000000"/>
                <w:sz w:val="20"/>
                <w:szCs w:val="20"/>
              </w:rPr>
              <w:t xml:space="preserve"> dio seguimiento a los acuerdos de Consejo Directivos, para las transferencias de recursos aprobadas desde la </w:t>
            </w:r>
            <w:r>
              <w:rPr>
                <w:rFonts w:ascii="Arial" w:hAnsi="Arial" w:cs="Arial"/>
                <w:color w:val="000000"/>
                <w:sz w:val="20"/>
                <w:szCs w:val="20"/>
              </w:rPr>
              <w:lastRenderedPageBreak/>
              <w:t xml:space="preserve">formulación del presupuesto 2021, sin </w:t>
            </w:r>
            <w:r w:rsidR="000353BD">
              <w:rPr>
                <w:rFonts w:ascii="Arial" w:hAnsi="Arial" w:cs="Arial"/>
                <w:color w:val="000000"/>
                <w:sz w:val="20"/>
                <w:szCs w:val="20"/>
              </w:rPr>
              <w:t>embargo,</w:t>
            </w:r>
            <w:r>
              <w:rPr>
                <w:rFonts w:ascii="Arial" w:hAnsi="Arial" w:cs="Arial"/>
                <w:color w:val="000000"/>
                <w:sz w:val="20"/>
                <w:szCs w:val="20"/>
              </w:rPr>
              <w:t xml:space="preserve"> no fue posible tener a tiempo el acuerdo de Fundación Ayúdanos a Ayudar.</w:t>
            </w:r>
          </w:p>
          <w:p w14:paraId="43DCF3D8" w14:textId="0B0E4858" w:rsidR="00AD2485" w:rsidRPr="002A3F86" w:rsidRDefault="004327BE" w:rsidP="00F959E6">
            <w:pPr>
              <w:spacing w:before="240" w:after="0" w:line="360" w:lineRule="auto"/>
              <w:jc w:val="both"/>
              <w:rPr>
                <w:rFonts w:ascii="Arial" w:hAnsi="Arial" w:cs="Arial"/>
                <w:color w:val="000000"/>
                <w:sz w:val="20"/>
                <w:szCs w:val="20"/>
              </w:rPr>
            </w:pPr>
            <w:r w:rsidRPr="002A3F86">
              <w:rPr>
                <w:rFonts w:ascii="Arial" w:hAnsi="Arial" w:cs="Arial"/>
                <w:color w:val="000000"/>
                <w:sz w:val="20"/>
                <w:szCs w:val="20"/>
              </w:rPr>
              <w:t xml:space="preserve">Se coordinó con la Unidad de Proyectos de Inversión y se realizó modificación presupuestaria, para realizar transferencia de ¢50,00 millones, los cuales estaban presupuestado para organismo internacional que llevaría a cabo un proyecto de </w:t>
            </w:r>
            <w:r w:rsidR="009241EB" w:rsidRPr="002A3F86">
              <w:rPr>
                <w:rFonts w:ascii="Arial" w:hAnsi="Arial" w:cs="Arial"/>
                <w:color w:val="000000"/>
                <w:sz w:val="20"/>
                <w:szCs w:val="20"/>
              </w:rPr>
              <w:t xml:space="preserve">prevención, sin </w:t>
            </w:r>
            <w:r w:rsidR="00261868" w:rsidRPr="002A3F86">
              <w:rPr>
                <w:rFonts w:ascii="Arial" w:hAnsi="Arial" w:cs="Arial"/>
                <w:color w:val="000000"/>
                <w:sz w:val="20"/>
                <w:szCs w:val="20"/>
              </w:rPr>
              <w:t>embargo,</w:t>
            </w:r>
            <w:r w:rsidR="009241EB" w:rsidRPr="002A3F86">
              <w:rPr>
                <w:rFonts w:ascii="Arial" w:hAnsi="Arial" w:cs="Arial"/>
                <w:color w:val="000000"/>
                <w:sz w:val="20"/>
                <w:szCs w:val="20"/>
              </w:rPr>
              <w:t xml:space="preserve"> el acuerdo de Consejo Directivo, no se realizó a tiempo, para realizar la transferencia a la Fundación ayúdanos a Ayudar (FAPA)</w:t>
            </w:r>
            <w:r w:rsidR="00485646" w:rsidRPr="002A3F86">
              <w:rPr>
                <w:rFonts w:ascii="Arial" w:hAnsi="Arial" w:cs="Arial"/>
                <w:color w:val="000000"/>
                <w:sz w:val="20"/>
                <w:szCs w:val="20"/>
              </w:rPr>
              <w:t>.</w:t>
            </w:r>
          </w:p>
        </w:tc>
      </w:tr>
      <w:tr w:rsidR="00AD2485" w:rsidRPr="007810B9" w14:paraId="4E08426B" w14:textId="77777777" w:rsidTr="00140BF3">
        <w:trPr>
          <w:gridAfter w:val="2"/>
          <w:wAfter w:w="702" w:type="dxa"/>
          <w:trHeight w:val="300"/>
        </w:trPr>
        <w:tc>
          <w:tcPr>
            <w:tcW w:w="8647" w:type="dxa"/>
            <w:gridSpan w:val="7"/>
            <w:tcBorders>
              <w:top w:val="single" w:sz="8" w:space="0" w:color="4F81BD"/>
              <w:left w:val="nil"/>
              <w:bottom w:val="nil"/>
              <w:right w:val="nil"/>
            </w:tcBorders>
            <w:shd w:val="clear" w:color="auto" w:fill="auto"/>
            <w:noWrap/>
            <w:hideMark/>
          </w:tcPr>
          <w:p w14:paraId="28B1F4C7" w14:textId="5AB3781E" w:rsidR="00AD2485" w:rsidRPr="00485646" w:rsidRDefault="00AD2485" w:rsidP="00F959E6">
            <w:pPr>
              <w:spacing w:after="0" w:line="240" w:lineRule="auto"/>
              <w:jc w:val="both"/>
              <w:rPr>
                <w:rFonts w:ascii="Arial" w:eastAsia="Times New Roman" w:hAnsi="Arial" w:cs="Arial"/>
                <w:color w:val="000000"/>
                <w:sz w:val="16"/>
                <w:szCs w:val="16"/>
                <w:lang w:val="es-CR" w:eastAsia="es-CR"/>
              </w:rPr>
            </w:pPr>
            <w:r w:rsidRPr="00485646">
              <w:rPr>
                <w:rFonts w:ascii="Arial" w:eastAsia="Times New Roman" w:hAnsi="Arial" w:cs="Arial"/>
                <w:color w:val="000000"/>
                <w:sz w:val="16"/>
                <w:szCs w:val="16"/>
                <w:lang w:val="es-CR" w:eastAsia="es-CR"/>
              </w:rPr>
              <w:lastRenderedPageBreak/>
              <w:t xml:space="preserve">Fuente: </w:t>
            </w:r>
            <w:r w:rsidR="00485646" w:rsidRPr="00261868">
              <w:rPr>
                <w:rFonts w:ascii="Arial" w:eastAsia="Times New Roman" w:hAnsi="Arial" w:cs="Arial"/>
                <w:color w:val="000000"/>
                <w:sz w:val="16"/>
                <w:szCs w:val="16"/>
                <w:lang w:val="es-CR" w:eastAsia="es-CR"/>
              </w:rPr>
              <w:t>Liquidación facilitada por la DGPN al 31/12/2021</w:t>
            </w:r>
            <w:r w:rsidRPr="00485646">
              <w:rPr>
                <w:rFonts w:ascii="Arial" w:eastAsia="Times New Roman" w:hAnsi="Arial" w:cs="Arial"/>
                <w:color w:val="000000"/>
                <w:sz w:val="16"/>
                <w:szCs w:val="16"/>
                <w:lang w:val="es-CR" w:eastAsia="es-CR"/>
              </w:rPr>
              <w:t>, acciones realizadas por la Unidad Administrativa Financiera</w:t>
            </w:r>
            <w:r w:rsidR="00485646">
              <w:rPr>
                <w:rFonts w:ascii="Arial" w:eastAsia="Times New Roman" w:hAnsi="Arial" w:cs="Arial"/>
                <w:color w:val="000000"/>
                <w:sz w:val="16"/>
                <w:szCs w:val="16"/>
                <w:lang w:val="es-CR" w:eastAsia="es-CR"/>
              </w:rPr>
              <w:t xml:space="preserve"> y Unidad de Planificación del Instituto Costarricense Sobre Drogas.</w:t>
            </w:r>
          </w:p>
        </w:tc>
      </w:tr>
      <w:tr w:rsidR="00AD2485" w:rsidRPr="007810B9" w14:paraId="5C8CDF94" w14:textId="77777777" w:rsidTr="00140BF3">
        <w:trPr>
          <w:gridAfter w:val="2"/>
          <w:wAfter w:w="702" w:type="dxa"/>
          <w:trHeight w:val="300"/>
        </w:trPr>
        <w:tc>
          <w:tcPr>
            <w:tcW w:w="8647" w:type="dxa"/>
            <w:gridSpan w:val="7"/>
            <w:tcBorders>
              <w:top w:val="nil"/>
              <w:left w:val="nil"/>
              <w:bottom w:val="nil"/>
              <w:right w:val="nil"/>
            </w:tcBorders>
            <w:shd w:val="clear" w:color="auto" w:fill="auto"/>
            <w:noWrap/>
            <w:hideMark/>
          </w:tcPr>
          <w:p w14:paraId="2DE8F1B1" w14:textId="77777777" w:rsidR="00AD2485" w:rsidRPr="007810B9" w:rsidRDefault="00AD2485" w:rsidP="00F959E6">
            <w:pPr>
              <w:spacing w:after="0" w:line="240" w:lineRule="auto"/>
              <w:jc w:val="both"/>
              <w:rPr>
                <w:rFonts w:ascii="Arial" w:eastAsia="Times New Roman" w:hAnsi="Arial" w:cs="Arial"/>
                <w:color w:val="000000" w:themeColor="text1"/>
                <w:sz w:val="16"/>
                <w:szCs w:val="16"/>
                <w:lang w:val="es-CR" w:eastAsia="es-CR"/>
              </w:rPr>
            </w:pPr>
            <w:r w:rsidRPr="007810B9">
              <w:rPr>
                <w:rFonts w:ascii="Arial" w:eastAsia="Times New Roman" w:hAnsi="Arial" w:cs="Arial"/>
                <w:color w:val="000000" w:themeColor="text1"/>
                <w:sz w:val="16"/>
                <w:szCs w:val="16"/>
                <w:lang w:val="es-CR" w:eastAsia="es-CR"/>
              </w:rPr>
              <w:t>/1 Indicar la descripción del factor (enunciado del factor, no número) señalado en el informe de seguimiento semestral.</w:t>
            </w:r>
          </w:p>
        </w:tc>
      </w:tr>
      <w:tr w:rsidR="00AD2485" w:rsidRPr="007810B9" w14:paraId="35A173EE" w14:textId="77777777" w:rsidTr="00140BF3">
        <w:trPr>
          <w:gridAfter w:val="2"/>
          <w:wAfter w:w="702" w:type="dxa"/>
          <w:trHeight w:val="300"/>
        </w:trPr>
        <w:tc>
          <w:tcPr>
            <w:tcW w:w="8647" w:type="dxa"/>
            <w:gridSpan w:val="7"/>
            <w:tcBorders>
              <w:top w:val="nil"/>
              <w:left w:val="nil"/>
              <w:bottom w:val="nil"/>
              <w:right w:val="nil"/>
            </w:tcBorders>
            <w:shd w:val="clear" w:color="auto" w:fill="auto"/>
            <w:noWrap/>
            <w:hideMark/>
          </w:tcPr>
          <w:p w14:paraId="236A0729" w14:textId="77777777" w:rsidR="00AD2485" w:rsidRPr="007810B9" w:rsidRDefault="00AD2485" w:rsidP="00F959E6">
            <w:pPr>
              <w:spacing w:after="0" w:line="240" w:lineRule="auto"/>
              <w:jc w:val="both"/>
              <w:rPr>
                <w:rFonts w:ascii="Arial" w:eastAsia="Times New Roman" w:hAnsi="Arial" w:cs="Arial"/>
                <w:color w:val="000000"/>
                <w:sz w:val="16"/>
                <w:szCs w:val="16"/>
                <w:lang w:val="es-CR" w:eastAsia="es-CR"/>
              </w:rPr>
            </w:pPr>
            <w:r w:rsidRPr="007810B9">
              <w:rPr>
                <w:rFonts w:ascii="Arial" w:eastAsia="Times New Roman" w:hAnsi="Arial" w:cs="Arial"/>
                <w:color w:val="000000"/>
                <w:sz w:val="16"/>
                <w:szCs w:val="16"/>
                <w:lang w:val="es-CR" w:eastAsia="es-CR"/>
              </w:rPr>
              <w:t>/2 Se refieren a las acciones propuestas en el informe de seguimiento semestral.</w:t>
            </w:r>
          </w:p>
        </w:tc>
      </w:tr>
      <w:tr w:rsidR="00AD2485" w:rsidRPr="007810B9" w14:paraId="49931F4D" w14:textId="77777777" w:rsidTr="00140BF3">
        <w:trPr>
          <w:gridAfter w:val="2"/>
          <w:wAfter w:w="702" w:type="dxa"/>
          <w:trHeight w:val="300"/>
        </w:trPr>
        <w:tc>
          <w:tcPr>
            <w:tcW w:w="8647" w:type="dxa"/>
            <w:gridSpan w:val="7"/>
            <w:tcBorders>
              <w:top w:val="nil"/>
              <w:left w:val="nil"/>
              <w:bottom w:val="nil"/>
              <w:right w:val="nil"/>
            </w:tcBorders>
            <w:shd w:val="clear" w:color="auto" w:fill="auto"/>
            <w:noWrap/>
            <w:hideMark/>
          </w:tcPr>
          <w:p w14:paraId="559812E0" w14:textId="1B736949" w:rsidR="00261868" w:rsidRDefault="00AD2485" w:rsidP="00F959E6">
            <w:pPr>
              <w:spacing w:after="0" w:line="240" w:lineRule="auto"/>
              <w:jc w:val="both"/>
              <w:rPr>
                <w:rFonts w:ascii="Arial" w:eastAsia="Times New Roman" w:hAnsi="Arial" w:cs="Arial"/>
                <w:color w:val="000000"/>
                <w:sz w:val="16"/>
                <w:szCs w:val="16"/>
                <w:lang w:val="es-CR" w:eastAsia="es-CR"/>
              </w:rPr>
            </w:pPr>
            <w:r w:rsidRPr="007810B9">
              <w:rPr>
                <w:rFonts w:ascii="Arial" w:eastAsia="Times New Roman" w:hAnsi="Arial" w:cs="Arial"/>
                <w:color w:val="000000"/>
                <w:sz w:val="16"/>
                <w:szCs w:val="16"/>
                <w:lang w:val="es-CR" w:eastAsia="es-CR"/>
              </w:rPr>
              <w:t>/3 Se refieren a las razones por las cuales las acciones correctivas propuestas no fueron efectivas para alcanzar un nivel superior al 90,00% de ejecución.</w:t>
            </w:r>
          </w:p>
          <w:p w14:paraId="5FF86563" w14:textId="77777777" w:rsidR="00261868" w:rsidRDefault="00261868" w:rsidP="00F959E6">
            <w:pPr>
              <w:spacing w:after="0" w:line="240" w:lineRule="auto"/>
              <w:jc w:val="both"/>
              <w:rPr>
                <w:rFonts w:ascii="Arial" w:eastAsia="Times New Roman" w:hAnsi="Arial" w:cs="Arial"/>
                <w:color w:val="000000"/>
                <w:sz w:val="16"/>
                <w:szCs w:val="16"/>
                <w:lang w:val="es-CR" w:eastAsia="es-CR"/>
              </w:rPr>
            </w:pPr>
          </w:p>
          <w:p w14:paraId="459E1B00" w14:textId="2A98E001" w:rsidR="00261868" w:rsidRDefault="00261868" w:rsidP="00F959E6">
            <w:pPr>
              <w:spacing w:after="0" w:line="240" w:lineRule="auto"/>
              <w:jc w:val="both"/>
              <w:rPr>
                <w:rFonts w:ascii="Arial" w:eastAsia="Times New Roman" w:hAnsi="Arial" w:cs="Arial"/>
                <w:color w:val="000000"/>
                <w:sz w:val="16"/>
                <w:szCs w:val="16"/>
                <w:lang w:val="es-CR" w:eastAsia="es-CR"/>
              </w:rPr>
            </w:pPr>
          </w:p>
          <w:p w14:paraId="45D64A06" w14:textId="48E2A2D8" w:rsidR="00F959E6" w:rsidRDefault="00F959E6" w:rsidP="00F959E6">
            <w:pPr>
              <w:spacing w:after="0" w:line="240" w:lineRule="auto"/>
              <w:jc w:val="both"/>
              <w:rPr>
                <w:rFonts w:ascii="Arial" w:eastAsia="Times New Roman" w:hAnsi="Arial" w:cs="Arial"/>
                <w:color w:val="000000"/>
                <w:sz w:val="16"/>
                <w:szCs w:val="16"/>
                <w:lang w:val="es-CR" w:eastAsia="es-CR"/>
              </w:rPr>
            </w:pPr>
          </w:p>
          <w:p w14:paraId="398E0A11" w14:textId="19250099" w:rsidR="00F959E6" w:rsidRDefault="00F959E6" w:rsidP="00F959E6">
            <w:pPr>
              <w:spacing w:after="0" w:line="240" w:lineRule="auto"/>
              <w:jc w:val="both"/>
              <w:rPr>
                <w:rFonts w:ascii="Arial" w:eastAsia="Times New Roman" w:hAnsi="Arial" w:cs="Arial"/>
                <w:color w:val="000000"/>
                <w:sz w:val="16"/>
                <w:szCs w:val="16"/>
                <w:lang w:val="es-CR" w:eastAsia="es-CR"/>
              </w:rPr>
            </w:pPr>
          </w:p>
          <w:p w14:paraId="3B94BFEE" w14:textId="5493D8D6" w:rsidR="00F959E6" w:rsidRDefault="00F959E6" w:rsidP="00F959E6">
            <w:pPr>
              <w:spacing w:after="0" w:line="240" w:lineRule="auto"/>
              <w:jc w:val="both"/>
              <w:rPr>
                <w:rFonts w:ascii="Arial" w:eastAsia="Times New Roman" w:hAnsi="Arial" w:cs="Arial"/>
                <w:color w:val="000000"/>
                <w:sz w:val="16"/>
                <w:szCs w:val="16"/>
                <w:lang w:val="es-CR" w:eastAsia="es-CR"/>
              </w:rPr>
            </w:pPr>
          </w:p>
          <w:p w14:paraId="46F27F9B" w14:textId="60162C6E" w:rsidR="00F959E6" w:rsidRDefault="00F959E6" w:rsidP="00F959E6">
            <w:pPr>
              <w:spacing w:after="0" w:line="240" w:lineRule="auto"/>
              <w:jc w:val="both"/>
              <w:rPr>
                <w:rFonts w:ascii="Arial" w:eastAsia="Times New Roman" w:hAnsi="Arial" w:cs="Arial"/>
                <w:color w:val="000000"/>
                <w:sz w:val="16"/>
                <w:szCs w:val="16"/>
                <w:lang w:val="es-CR" w:eastAsia="es-CR"/>
              </w:rPr>
            </w:pPr>
          </w:p>
          <w:p w14:paraId="4DB370F8" w14:textId="7801C158" w:rsidR="00F959E6" w:rsidRDefault="00F959E6" w:rsidP="00F959E6">
            <w:pPr>
              <w:spacing w:after="0" w:line="240" w:lineRule="auto"/>
              <w:jc w:val="both"/>
              <w:rPr>
                <w:rFonts w:ascii="Arial" w:eastAsia="Times New Roman" w:hAnsi="Arial" w:cs="Arial"/>
                <w:color w:val="000000"/>
                <w:sz w:val="16"/>
                <w:szCs w:val="16"/>
                <w:lang w:val="es-CR" w:eastAsia="es-CR"/>
              </w:rPr>
            </w:pPr>
          </w:p>
          <w:p w14:paraId="76633258" w14:textId="568F5107" w:rsidR="00F959E6" w:rsidRDefault="00F959E6" w:rsidP="00F959E6">
            <w:pPr>
              <w:spacing w:after="0" w:line="240" w:lineRule="auto"/>
              <w:jc w:val="both"/>
              <w:rPr>
                <w:rFonts w:ascii="Arial" w:eastAsia="Times New Roman" w:hAnsi="Arial" w:cs="Arial"/>
                <w:color w:val="000000"/>
                <w:sz w:val="16"/>
                <w:szCs w:val="16"/>
                <w:lang w:val="es-CR" w:eastAsia="es-CR"/>
              </w:rPr>
            </w:pPr>
          </w:p>
          <w:p w14:paraId="53246B82" w14:textId="373D3EA2" w:rsidR="00F959E6" w:rsidRDefault="00F959E6" w:rsidP="00F959E6">
            <w:pPr>
              <w:spacing w:after="0" w:line="240" w:lineRule="auto"/>
              <w:jc w:val="both"/>
              <w:rPr>
                <w:rFonts w:ascii="Arial" w:eastAsia="Times New Roman" w:hAnsi="Arial" w:cs="Arial"/>
                <w:color w:val="000000"/>
                <w:sz w:val="16"/>
                <w:szCs w:val="16"/>
                <w:lang w:val="es-CR" w:eastAsia="es-CR"/>
              </w:rPr>
            </w:pPr>
          </w:p>
          <w:p w14:paraId="43988F9D" w14:textId="4ECA4DCE" w:rsidR="00F959E6" w:rsidRDefault="00F959E6" w:rsidP="00F959E6">
            <w:pPr>
              <w:spacing w:after="0" w:line="240" w:lineRule="auto"/>
              <w:jc w:val="both"/>
              <w:rPr>
                <w:rFonts w:ascii="Arial" w:eastAsia="Times New Roman" w:hAnsi="Arial" w:cs="Arial"/>
                <w:color w:val="000000"/>
                <w:sz w:val="16"/>
                <w:szCs w:val="16"/>
                <w:lang w:val="es-CR" w:eastAsia="es-CR"/>
              </w:rPr>
            </w:pPr>
          </w:p>
          <w:p w14:paraId="4217B486" w14:textId="2275469B" w:rsidR="00F959E6" w:rsidRDefault="00F959E6" w:rsidP="00F959E6">
            <w:pPr>
              <w:spacing w:after="0" w:line="240" w:lineRule="auto"/>
              <w:jc w:val="both"/>
              <w:rPr>
                <w:rFonts w:ascii="Arial" w:eastAsia="Times New Roman" w:hAnsi="Arial" w:cs="Arial"/>
                <w:color w:val="000000"/>
                <w:sz w:val="16"/>
                <w:szCs w:val="16"/>
                <w:lang w:val="es-CR" w:eastAsia="es-CR"/>
              </w:rPr>
            </w:pPr>
          </w:p>
          <w:p w14:paraId="08227E8E" w14:textId="2E5DC3B0" w:rsidR="00F959E6" w:rsidRDefault="00F959E6" w:rsidP="00F959E6">
            <w:pPr>
              <w:spacing w:after="0" w:line="240" w:lineRule="auto"/>
              <w:jc w:val="both"/>
              <w:rPr>
                <w:rFonts w:ascii="Arial" w:eastAsia="Times New Roman" w:hAnsi="Arial" w:cs="Arial"/>
                <w:color w:val="000000"/>
                <w:sz w:val="16"/>
                <w:szCs w:val="16"/>
                <w:lang w:val="es-CR" w:eastAsia="es-CR"/>
              </w:rPr>
            </w:pPr>
          </w:p>
          <w:p w14:paraId="5E28EFF5" w14:textId="638A6C9C" w:rsidR="00F959E6" w:rsidRDefault="00F959E6" w:rsidP="00F959E6">
            <w:pPr>
              <w:spacing w:after="0" w:line="240" w:lineRule="auto"/>
              <w:jc w:val="both"/>
              <w:rPr>
                <w:rFonts w:ascii="Arial" w:eastAsia="Times New Roman" w:hAnsi="Arial" w:cs="Arial"/>
                <w:color w:val="000000"/>
                <w:sz w:val="16"/>
                <w:szCs w:val="16"/>
                <w:lang w:val="es-CR" w:eastAsia="es-CR"/>
              </w:rPr>
            </w:pPr>
          </w:p>
          <w:p w14:paraId="50757802" w14:textId="4589CEAD" w:rsidR="00F959E6" w:rsidRDefault="00F959E6" w:rsidP="00F959E6">
            <w:pPr>
              <w:spacing w:after="0" w:line="240" w:lineRule="auto"/>
              <w:jc w:val="both"/>
              <w:rPr>
                <w:rFonts w:ascii="Arial" w:eastAsia="Times New Roman" w:hAnsi="Arial" w:cs="Arial"/>
                <w:color w:val="000000"/>
                <w:sz w:val="16"/>
                <w:szCs w:val="16"/>
                <w:lang w:val="es-CR" w:eastAsia="es-CR"/>
              </w:rPr>
            </w:pPr>
          </w:p>
          <w:p w14:paraId="52CA968B" w14:textId="40FE2837" w:rsidR="00F959E6" w:rsidRDefault="00F959E6" w:rsidP="00F959E6">
            <w:pPr>
              <w:spacing w:after="0" w:line="240" w:lineRule="auto"/>
              <w:jc w:val="both"/>
              <w:rPr>
                <w:rFonts w:ascii="Arial" w:eastAsia="Times New Roman" w:hAnsi="Arial" w:cs="Arial"/>
                <w:color w:val="000000"/>
                <w:sz w:val="16"/>
                <w:szCs w:val="16"/>
                <w:lang w:val="es-CR" w:eastAsia="es-CR"/>
              </w:rPr>
            </w:pPr>
          </w:p>
          <w:p w14:paraId="71599806" w14:textId="152A1A6A" w:rsidR="00F959E6" w:rsidRDefault="00F959E6" w:rsidP="00F959E6">
            <w:pPr>
              <w:spacing w:after="0" w:line="240" w:lineRule="auto"/>
              <w:jc w:val="both"/>
              <w:rPr>
                <w:rFonts w:ascii="Arial" w:eastAsia="Times New Roman" w:hAnsi="Arial" w:cs="Arial"/>
                <w:color w:val="000000"/>
                <w:sz w:val="16"/>
                <w:szCs w:val="16"/>
                <w:lang w:val="es-CR" w:eastAsia="es-CR"/>
              </w:rPr>
            </w:pPr>
          </w:p>
          <w:p w14:paraId="0B440E48" w14:textId="4CE4955B" w:rsidR="00F959E6" w:rsidRDefault="00F959E6" w:rsidP="00F959E6">
            <w:pPr>
              <w:spacing w:after="0" w:line="240" w:lineRule="auto"/>
              <w:jc w:val="both"/>
              <w:rPr>
                <w:rFonts w:ascii="Arial" w:eastAsia="Times New Roman" w:hAnsi="Arial" w:cs="Arial"/>
                <w:color w:val="000000"/>
                <w:sz w:val="16"/>
                <w:szCs w:val="16"/>
                <w:lang w:val="es-CR" w:eastAsia="es-CR"/>
              </w:rPr>
            </w:pPr>
          </w:p>
          <w:p w14:paraId="78429C8C" w14:textId="3A3FE0F2" w:rsidR="00F959E6" w:rsidRDefault="00F959E6" w:rsidP="00F959E6">
            <w:pPr>
              <w:spacing w:after="0" w:line="240" w:lineRule="auto"/>
              <w:jc w:val="both"/>
              <w:rPr>
                <w:rFonts w:ascii="Arial" w:eastAsia="Times New Roman" w:hAnsi="Arial" w:cs="Arial"/>
                <w:color w:val="000000"/>
                <w:sz w:val="16"/>
                <w:szCs w:val="16"/>
                <w:lang w:val="es-CR" w:eastAsia="es-CR"/>
              </w:rPr>
            </w:pPr>
          </w:p>
          <w:p w14:paraId="3FA56F24" w14:textId="48A5A001" w:rsidR="00F959E6" w:rsidRDefault="00F959E6" w:rsidP="00F959E6">
            <w:pPr>
              <w:spacing w:after="0" w:line="240" w:lineRule="auto"/>
              <w:jc w:val="both"/>
              <w:rPr>
                <w:rFonts w:ascii="Arial" w:eastAsia="Times New Roman" w:hAnsi="Arial" w:cs="Arial"/>
                <w:color w:val="000000"/>
                <w:sz w:val="16"/>
                <w:szCs w:val="16"/>
                <w:lang w:val="es-CR" w:eastAsia="es-CR"/>
              </w:rPr>
            </w:pPr>
          </w:p>
          <w:p w14:paraId="14F81DBC" w14:textId="77777777" w:rsidR="00F959E6" w:rsidRDefault="00F959E6" w:rsidP="00F959E6">
            <w:pPr>
              <w:spacing w:after="0" w:line="240" w:lineRule="auto"/>
              <w:jc w:val="both"/>
              <w:rPr>
                <w:rFonts w:ascii="Arial" w:eastAsia="Times New Roman" w:hAnsi="Arial" w:cs="Arial"/>
                <w:color w:val="000000"/>
                <w:sz w:val="16"/>
                <w:szCs w:val="16"/>
                <w:lang w:val="es-CR" w:eastAsia="es-CR"/>
              </w:rPr>
            </w:pPr>
          </w:p>
          <w:p w14:paraId="7C5BE26D" w14:textId="6C0A5D71" w:rsidR="00F959E6" w:rsidRDefault="00F959E6" w:rsidP="00F959E6">
            <w:pPr>
              <w:spacing w:after="0" w:line="240" w:lineRule="auto"/>
              <w:jc w:val="both"/>
              <w:rPr>
                <w:rFonts w:ascii="Arial" w:eastAsia="Times New Roman" w:hAnsi="Arial" w:cs="Arial"/>
                <w:color w:val="000000"/>
                <w:sz w:val="16"/>
                <w:szCs w:val="16"/>
                <w:lang w:val="es-CR" w:eastAsia="es-CR"/>
              </w:rPr>
            </w:pPr>
          </w:p>
          <w:p w14:paraId="64AF9CFA" w14:textId="4026166F" w:rsidR="00F959E6" w:rsidRDefault="00F959E6" w:rsidP="00F959E6">
            <w:pPr>
              <w:spacing w:after="0" w:line="240" w:lineRule="auto"/>
              <w:jc w:val="both"/>
              <w:rPr>
                <w:rFonts w:ascii="Arial" w:eastAsia="Times New Roman" w:hAnsi="Arial" w:cs="Arial"/>
                <w:color w:val="000000"/>
                <w:sz w:val="16"/>
                <w:szCs w:val="16"/>
                <w:lang w:val="es-CR" w:eastAsia="es-CR"/>
              </w:rPr>
            </w:pPr>
          </w:p>
          <w:p w14:paraId="10378495" w14:textId="3CE5FCF4" w:rsidR="00F959E6" w:rsidRDefault="00F959E6" w:rsidP="00F959E6">
            <w:pPr>
              <w:spacing w:after="0" w:line="240" w:lineRule="auto"/>
              <w:jc w:val="both"/>
              <w:rPr>
                <w:rFonts w:ascii="Arial" w:eastAsia="Times New Roman" w:hAnsi="Arial" w:cs="Arial"/>
                <w:color w:val="000000"/>
                <w:sz w:val="16"/>
                <w:szCs w:val="16"/>
                <w:lang w:val="es-CR" w:eastAsia="es-CR"/>
              </w:rPr>
            </w:pPr>
          </w:p>
          <w:p w14:paraId="5E25F8A7" w14:textId="71C0FA9A" w:rsidR="00F959E6" w:rsidRDefault="00F959E6" w:rsidP="00F959E6">
            <w:pPr>
              <w:spacing w:after="0" w:line="240" w:lineRule="auto"/>
              <w:jc w:val="both"/>
              <w:rPr>
                <w:rFonts w:ascii="Arial" w:eastAsia="Times New Roman" w:hAnsi="Arial" w:cs="Arial"/>
                <w:color w:val="000000"/>
                <w:sz w:val="16"/>
                <w:szCs w:val="16"/>
                <w:lang w:val="es-CR" w:eastAsia="es-CR"/>
              </w:rPr>
            </w:pPr>
          </w:p>
          <w:p w14:paraId="135AE148" w14:textId="20813A09" w:rsidR="00F959E6" w:rsidRDefault="00F959E6" w:rsidP="00F959E6">
            <w:pPr>
              <w:spacing w:after="0" w:line="240" w:lineRule="auto"/>
              <w:jc w:val="both"/>
              <w:rPr>
                <w:rFonts w:ascii="Arial" w:eastAsia="Times New Roman" w:hAnsi="Arial" w:cs="Arial"/>
                <w:color w:val="000000"/>
                <w:sz w:val="16"/>
                <w:szCs w:val="16"/>
                <w:lang w:val="es-CR" w:eastAsia="es-CR"/>
              </w:rPr>
            </w:pPr>
          </w:p>
          <w:p w14:paraId="189C2B90" w14:textId="77777777" w:rsidR="00F959E6" w:rsidRDefault="00F959E6" w:rsidP="00F959E6">
            <w:pPr>
              <w:spacing w:after="0" w:line="240" w:lineRule="auto"/>
              <w:jc w:val="both"/>
              <w:rPr>
                <w:rFonts w:ascii="Arial" w:eastAsia="Times New Roman" w:hAnsi="Arial" w:cs="Arial"/>
                <w:color w:val="000000"/>
                <w:sz w:val="16"/>
                <w:szCs w:val="16"/>
                <w:lang w:val="es-CR" w:eastAsia="es-CR"/>
              </w:rPr>
            </w:pPr>
          </w:p>
          <w:p w14:paraId="0DE9489B" w14:textId="5D7E98CE" w:rsidR="00261868" w:rsidRPr="007810B9" w:rsidRDefault="00261868" w:rsidP="00F959E6">
            <w:pPr>
              <w:spacing w:after="0" w:line="240" w:lineRule="auto"/>
              <w:jc w:val="both"/>
              <w:rPr>
                <w:rFonts w:ascii="Arial" w:eastAsia="Times New Roman" w:hAnsi="Arial" w:cs="Arial"/>
                <w:color w:val="000000"/>
                <w:sz w:val="16"/>
                <w:szCs w:val="16"/>
                <w:lang w:val="es-CR" w:eastAsia="es-CR"/>
              </w:rPr>
            </w:pPr>
          </w:p>
        </w:tc>
      </w:tr>
      <w:tr w:rsidR="00261868" w:rsidRPr="00261868" w14:paraId="00D9A18C" w14:textId="77777777" w:rsidTr="00140BF3">
        <w:trPr>
          <w:gridAfter w:val="1"/>
          <w:wAfter w:w="271" w:type="dxa"/>
          <w:trHeight w:val="300"/>
        </w:trPr>
        <w:tc>
          <w:tcPr>
            <w:tcW w:w="1463" w:type="dxa"/>
            <w:tcBorders>
              <w:top w:val="nil"/>
              <w:left w:val="nil"/>
              <w:bottom w:val="nil"/>
              <w:right w:val="nil"/>
            </w:tcBorders>
            <w:shd w:val="clear" w:color="auto" w:fill="auto"/>
            <w:noWrap/>
            <w:hideMark/>
          </w:tcPr>
          <w:p w14:paraId="7A72F0A0" w14:textId="77777777" w:rsidR="00261868" w:rsidRPr="002A3F86" w:rsidRDefault="00261868" w:rsidP="00F959E6">
            <w:pPr>
              <w:spacing w:after="0" w:line="240" w:lineRule="auto"/>
              <w:jc w:val="both"/>
              <w:rPr>
                <w:rFonts w:ascii="Arial" w:eastAsia="Times New Roman" w:hAnsi="Arial" w:cs="Arial"/>
                <w:sz w:val="20"/>
                <w:szCs w:val="20"/>
                <w:lang w:val="es-CR" w:eastAsia="es-CR"/>
              </w:rPr>
            </w:pPr>
          </w:p>
        </w:tc>
        <w:tc>
          <w:tcPr>
            <w:tcW w:w="1089" w:type="dxa"/>
            <w:tcBorders>
              <w:top w:val="nil"/>
              <w:left w:val="nil"/>
              <w:bottom w:val="nil"/>
              <w:right w:val="nil"/>
            </w:tcBorders>
            <w:shd w:val="clear" w:color="auto" w:fill="auto"/>
            <w:noWrap/>
            <w:hideMark/>
          </w:tcPr>
          <w:p w14:paraId="268631E6" w14:textId="77777777" w:rsidR="00261868" w:rsidRPr="002A3F86" w:rsidRDefault="00261868" w:rsidP="00F959E6">
            <w:pPr>
              <w:spacing w:after="0" w:line="240" w:lineRule="auto"/>
              <w:jc w:val="both"/>
              <w:rPr>
                <w:rFonts w:ascii="Arial" w:eastAsia="Times New Roman" w:hAnsi="Arial" w:cs="Arial"/>
                <w:sz w:val="20"/>
                <w:szCs w:val="20"/>
                <w:lang w:val="es-CR" w:eastAsia="es-CR"/>
              </w:rPr>
            </w:pPr>
          </w:p>
        </w:tc>
        <w:tc>
          <w:tcPr>
            <w:tcW w:w="3544" w:type="dxa"/>
            <w:gridSpan w:val="3"/>
            <w:tcBorders>
              <w:top w:val="nil"/>
              <w:left w:val="nil"/>
              <w:bottom w:val="nil"/>
              <w:right w:val="nil"/>
            </w:tcBorders>
            <w:shd w:val="clear" w:color="auto" w:fill="auto"/>
            <w:noWrap/>
            <w:hideMark/>
          </w:tcPr>
          <w:p w14:paraId="0534FD21" w14:textId="77777777" w:rsidR="00261868" w:rsidRPr="00261868" w:rsidRDefault="00261868" w:rsidP="00F959E6">
            <w:pPr>
              <w:spacing w:after="0" w:line="240" w:lineRule="auto"/>
              <w:jc w:val="both"/>
              <w:rPr>
                <w:rFonts w:ascii="Times New Roman" w:eastAsia="Times New Roman" w:hAnsi="Times New Roman" w:cs="Times New Roman"/>
                <w:sz w:val="20"/>
                <w:szCs w:val="20"/>
                <w:lang w:val="es-CR" w:eastAsia="es-CR"/>
              </w:rPr>
            </w:pPr>
          </w:p>
        </w:tc>
        <w:tc>
          <w:tcPr>
            <w:tcW w:w="1319" w:type="dxa"/>
            <w:tcBorders>
              <w:top w:val="nil"/>
              <w:left w:val="nil"/>
              <w:bottom w:val="nil"/>
              <w:right w:val="nil"/>
            </w:tcBorders>
            <w:shd w:val="clear" w:color="auto" w:fill="auto"/>
            <w:noWrap/>
            <w:hideMark/>
          </w:tcPr>
          <w:p w14:paraId="5CDF93C8" w14:textId="77777777" w:rsidR="00261868" w:rsidRPr="00261868" w:rsidRDefault="00261868" w:rsidP="00F959E6">
            <w:pPr>
              <w:spacing w:after="0" w:line="240" w:lineRule="auto"/>
              <w:jc w:val="both"/>
              <w:rPr>
                <w:rFonts w:ascii="Times New Roman" w:eastAsia="Times New Roman" w:hAnsi="Times New Roman" w:cs="Times New Roman"/>
                <w:sz w:val="20"/>
                <w:szCs w:val="20"/>
                <w:lang w:val="es-CR" w:eastAsia="es-CR"/>
              </w:rPr>
            </w:pPr>
          </w:p>
        </w:tc>
        <w:tc>
          <w:tcPr>
            <w:tcW w:w="1663" w:type="dxa"/>
            <w:gridSpan w:val="2"/>
            <w:tcBorders>
              <w:top w:val="nil"/>
              <w:left w:val="nil"/>
              <w:bottom w:val="nil"/>
              <w:right w:val="nil"/>
            </w:tcBorders>
            <w:shd w:val="clear" w:color="auto" w:fill="auto"/>
            <w:noWrap/>
            <w:hideMark/>
          </w:tcPr>
          <w:p w14:paraId="083553B9" w14:textId="77777777" w:rsidR="00261868" w:rsidRPr="00261868" w:rsidRDefault="00261868" w:rsidP="00F959E6">
            <w:pPr>
              <w:spacing w:after="0" w:line="240" w:lineRule="auto"/>
              <w:jc w:val="both"/>
              <w:rPr>
                <w:rFonts w:ascii="Times New Roman" w:eastAsia="Times New Roman" w:hAnsi="Times New Roman" w:cs="Times New Roman"/>
                <w:sz w:val="20"/>
                <w:szCs w:val="20"/>
                <w:lang w:val="es-CR" w:eastAsia="es-CR"/>
              </w:rPr>
            </w:pPr>
          </w:p>
        </w:tc>
      </w:tr>
      <w:tr w:rsidR="00261868" w:rsidRPr="00261868" w14:paraId="6E253A0C" w14:textId="77777777" w:rsidTr="00140BF3">
        <w:trPr>
          <w:trHeight w:val="300"/>
        </w:trPr>
        <w:tc>
          <w:tcPr>
            <w:tcW w:w="9349" w:type="dxa"/>
            <w:gridSpan w:val="9"/>
            <w:tcBorders>
              <w:top w:val="nil"/>
              <w:left w:val="nil"/>
              <w:bottom w:val="nil"/>
              <w:right w:val="nil"/>
            </w:tcBorders>
            <w:shd w:val="clear" w:color="auto" w:fill="auto"/>
            <w:noWrap/>
            <w:hideMark/>
          </w:tcPr>
          <w:p w14:paraId="38173A52" w14:textId="77777777" w:rsidR="00261868" w:rsidRPr="002A3F86" w:rsidRDefault="00261868" w:rsidP="00F959E6">
            <w:pPr>
              <w:spacing w:after="0" w:line="240" w:lineRule="auto"/>
              <w:jc w:val="center"/>
              <w:rPr>
                <w:rFonts w:ascii="Arial" w:eastAsia="Times New Roman" w:hAnsi="Arial" w:cs="Arial"/>
                <w:b/>
                <w:bCs/>
                <w:color w:val="000000"/>
                <w:sz w:val="20"/>
                <w:szCs w:val="20"/>
                <w:lang w:val="es-CR" w:eastAsia="es-CR"/>
              </w:rPr>
            </w:pPr>
            <w:r w:rsidRPr="002A3F86">
              <w:rPr>
                <w:rFonts w:ascii="Arial" w:eastAsia="Times New Roman" w:hAnsi="Arial" w:cs="Arial"/>
                <w:b/>
                <w:bCs/>
                <w:color w:val="000000"/>
                <w:sz w:val="20"/>
                <w:szCs w:val="20"/>
                <w:lang w:val="es-CR" w:eastAsia="es-CR"/>
              </w:rPr>
              <w:t>Cuadro 4</w:t>
            </w:r>
            <w:r w:rsidRPr="002A3F86">
              <w:rPr>
                <w:rFonts w:ascii="Arial" w:eastAsia="Times New Roman" w:hAnsi="Arial" w:cs="Arial"/>
                <w:color w:val="000000"/>
                <w:sz w:val="20"/>
                <w:szCs w:val="20"/>
                <w:lang w:val="es-CR" w:eastAsia="es-CR"/>
              </w:rPr>
              <w:t xml:space="preserve">. </w:t>
            </w:r>
            <w:r w:rsidRPr="002A3F86">
              <w:rPr>
                <w:rFonts w:ascii="Arial" w:eastAsia="Times New Roman" w:hAnsi="Arial" w:cs="Arial"/>
                <w:b/>
                <w:bCs/>
                <w:color w:val="000000"/>
                <w:sz w:val="20"/>
                <w:szCs w:val="20"/>
                <w:lang w:val="es-CR" w:eastAsia="es-CR"/>
              </w:rPr>
              <w:t>Acciones correctivas y fechas de implementación</w:t>
            </w:r>
          </w:p>
        </w:tc>
      </w:tr>
      <w:tr w:rsidR="00261868" w:rsidRPr="00261868" w14:paraId="5DB4B932" w14:textId="77777777" w:rsidTr="00140BF3">
        <w:trPr>
          <w:trHeight w:val="300"/>
        </w:trPr>
        <w:tc>
          <w:tcPr>
            <w:tcW w:w="9349" w:type="dxa"/>
            <w:gridSpan w:val="9"/>
            <w:tcBorders>
              <w:top w:val="nil"/>
              <w:left w:val="nil"/>
              <w:bottom w:val="nil"/>
              <w:right w:val="nil"/>
            </w:tcBorders>
            <w:shd w:val="clear" w:color="auto" w:fill="auto"/>
            <w:noWrap/>
            <w:hideMark/>
          </w:tcPr>
          <w:p w14:paraId="2530D6FF" w14:textId="77777777" w:rsidR="00261868" w:rsidRPr="002A3F86" w:rsidRDefault="00261868" w:rsidP="00F959E6">
            <w:pPr>
              <w:spacing w:after="0" w:line="240" w:lineRule="auto"/>
              <w:jc w:val="center"/>
              <w:rPr>
                <w:rFonts w:ascii="Arial" w:eastAsia="Times New Roman" w:hAnsi="Arial" w:cs="Arial"/>
                <w:sz w:val="20"/>
                <w:szCs w:val="20"/>
                <w:lang w:val="es-CR" w:eastAsia="es-CR"/>
              </w:rPr>
            </w:pPr>
            <w:r w:rsidRPr="002A3F86">
              <w:rPr>
                <w:rFonts w:ascii="Arial" w:eastAsia="Times New Roman" w:hAnsi="Arial" w:cs="Arial"/>
                <w:sz w:val="20"/>
                <w:szCs w:val="20"/>
                <w:lang w:val="es-CR" w:eastAsia="es-CR"/>
              </w:rPr>
              <w:t>043- Instituto Costarricense Sobre Drogas</w:t>
            </w:r>
          </w:p>
        </w:tc>
      </w:tr>
      <w:tr w:rsidR="00261868" w:rsidRPr="00261868" w14:paraId="7E2343B6" w14:textId="77777777" w:rsidTr="00140BF3">
        <w:trPr>
          <w:trHeight w:val="300"/>
        </w:trPr>
        <w:tc>
          <w:tcPr>
            <w:tcW w:w="9349" w:type="dxa"/>
            <w:gridSpan w:val="9"/>
            <w:tcBorders>
              <w:top w:val="nil"/>
              <w:left w:val="nil"/>
              <w:bottom w:val="nil"/>
              <w:right w:val="nil"/>
            </w:tcBorders>
            <w:shd w:val="clear" w:color="auto" w:fill="auto"/>
            <w:noWrap/>
            <w:hideMark/>
          </w:tcPr>
          <w:p w14:paraId="793194B8" w14:textId="77777777" w:rsidR="00261868" w:rsidRPr="002A3F86" w:rsidRDefault="00261868" w:rsidP="00F959E6">
            <w:pPr>
              <w:spacing w:after="0" w:line="240" w:lineRule="auto"/>
              <w:jc w:val="center"/>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Partidas con ejecución menor al 90,00%</w:t>
            </w:r>
          </w:p>
        </w:tc>
      </w:tr>
      <w:tr w:rsidR="00261868" w:rsidRPr="00261868" w14:paraId="01D7E974" w14:textId="77777777" w:rsidTr="00140BF3">
        <w:trPr>
          <w:trHeight w:val="315"/>
        </w:trPr>
        <w:tc>
          <w:tcPr>
            <w:tcW w:w="9349" w:type="dxa"/>
            <w:gridSpan w:val="9"/>
            <w:tcBorders>
              <w:top w:val="nil"/>
              <w:left w:val="nil"/>
              <w:bottom w:val="nil"/>
              <w:right w:val="nil"/>
            </w:tcBorders>
            <w:shd w:val="clear" w:color="auto" w:fill="auto"/>
            <w:noWrap/>
            <w:hideMark/>
          </w:tcPr>
          <w:p w14:paraId="29E99A79" w14:textId="67408397" w:rsidR="00261868" w:rsidRPr="002A3F86" w:rsidRDefault="00261868" w:rsidP="00F959E6">
            <w:pPr>
              <w:spacing w:after="0" w:line="240" w:lineRule="auto"/>
              <w:jc w:val="center"/>
              <w:rPr>
                <w:rFonts w:ascii="Arial" w:eastAsia="Times New Roman" w:hAnsi="Arial" w:cs="Arial"/>
                <w:color w:val="000000"/>
                <w:sz w:val="20"/>
                <w:szCs w:val="20"/>
                <w:lang w:val="es-CR" w:eastAsia="es-CR"/>
              </w:rPr>
            </w:pPr>
            <w:r w:rsidRPr="002A3F86">
              <w:rPr>
                <w:rFonts w:ascii="Arial" w:eastAsia="Times New Roman" w:hAnsi="Arial" w:cs="Arial"/>
                <w:color w:val="000000"/>
                <w:sz w:val="20"/>
                <w:szCs w:val="20"/>
                <w:lang w:val="es-CR" w:eastAsia="es-CR"/>
              </w:rPr>
              <w:t>al 31 de diciembre 2021</w:t>
            </w:r>
          </w:p>
        </w:tc>
      </w:tr>
      <w:tr w:rsidR="00261868" w:rsidRPr="00261868" w14:paraId="77EBA675" w14:textId="77777777" w:rsidTr="00140BF3">
        <w:trPr>
          <w:gridAfter w:val="1"/>
          <w:wAfter w:w="271" w:type="dxa"/>
          <w:trHeight w:val="540"/>
        </w:trPr>
        <w:tc>
          <w:tcPr>
            <w:tcW w:w="1463" w:type="dxa"/>
            <w:tcBorders>
              <w:top w:val="single" w:sz="8" w:space="0" w:color="4F81BD"/>
              <w:left w:val="single" w:sz="8" w:space="0" w:color="4F81BD"/>
              <w:bottom w:val="nil"/>
              <w:right w:val="nil"/>
            </w:tcBorders>
            <w:shd w:val="clear" w:color="000000" w:fill="4F81BD"/>
            <w:hideMark/>
          </w:tcPr>
          <w:p w14:paraId="5323C448" w14:textId="77777777" w:rsidR="00261868" w:rsidRPr="00261868" w:rsidRDefault="00261868" w:rsidP="00F959E6">
            <w:pPr>
              <w:spacing w:after="0" w:line="240" w:lineRule="auto"/>
              <w:jc w:val="both"/>
              <w:rPr>
                <w:rFonts w:ascii="Arial" w:eastAsia="Times New Roman" w:hAnsi="Arial" w:cs="Arial"/>
                <w:b/>
                <w:bCs/>
                <w:color w:val="FFFFFF"/>
                <w:sz w:val="20"/>
                <w:szCs w:val="20"/>
                <w:lang w:val="es-CR" w:eastAsia="es-CR"/>
              </w:rPr>
            </w:pPr>
            <w:r w:rsidRPr="00261868">
              <w:rPr>
                <w:rFonts w:ascii="Arial" w:eastAsia="Times New Roman" w:hAnsi="Arial" w:cs="Arial"/>
                <w:b/>
                <w:bCs/>
                <w:color w:val="FFFFFF"/>
                <w:sz w:val="20"/>
                <w:szCs w:val="20"/>
                <w:lang w:val="es-CR" w:eastAsia="es-CR"/>
              </w:rPr>
              <w:t>Nombre de la partida</w:t>
            </w:r>
          </w:p>
        </w:tc>
        <w:tc>
          <w:tcPr>
            <w:tcW w:w="1089" w:type="dxa"/>
            <w:tcBorders>
              <w:top w:val="single" w:sz="8" w:space="0" w:color="4F81BD"/>
              <w:left w:val="single" w:sz="8" w:space="0" w:color="4F81BD"/>
              <w:bottom w:val="nil"/>
              <w:right w:val="single" w:sz="8" w:space="0" w:color="4F81BD"/>
            </w:tcBorders>
            <w:shd w:val="clear" w:color="000000" w:fill="4F81BD"/>
            <w:hideMark/>
          </w:tcPr>
          <w:p w14:paraId="1E2DE064" w14:textId="77777777" w:rsidR="00261868" w:rsidRPr="00261868" w:rsidRDefault="00261868" w:rsidP="00F959E6">
            <w:pPr>
              <w:spacing w:after="0" w:line="240" w:lineRule="auto"/>
              <w:jc w:val="both"/>
              <w:rPr>
                <w:rFonts w:ascii="Arial" w:eastAsia="Times New Roman" w:hAnsi="Arial" w:cs="Arial"/>
                <w:b/>
                <w:bCs/>
                <w:color w:val="FFFFFF"/>
                <w:sz w:val="20"/>
                <w:szCs w:val="20"/>
                <w:lang w:val="es-CR" w:eastAsia="es-CR"/>
              </w:rPr>
            </w:pPr>
            <w:r w:rsidRPr="00261868">
              <w:rPr>
                <w:rFonts w:ascii="Arial" w:eastAsia="Times New Roman" w:hAnsi="Arial" w:cs="Arial"/>
                <w:b/>
                <w:bCs/>
                <w:color w:val="FFFFFF"/>
                <w:sz w:val="20"/>
                <w:szCs w:val="20"/>
                <w:lang w:val="es-CR" w:eastAsia="es-CR"/>
              </w:rPr>
              <w:t xml:space="preserve">Nivel de ejecución </w:t>
            </w:r>
            <w:r w:rsidRPr="00261868">
              <w:rPr>
                <w:rFonts w:ascii="Arial" w:eastAsia="Times New Roman" w:hAnsi="Arial" w:cs="Arial"/>
                <w:b/>
                <w:bCs/>
                <w:color w:val="FFFFFF"/>
                <w:sz w:val="20"/>
                <w:szCs w:val="20"/>
                <w:vertAlign w:val="superscript"/>
                <w:lang w:val="es-CR" w:eastAsia="es-CR"/>
              </w:rPr>
              <w:t>/1</w:t>
            </w:r>
          </w:p>
        </w:tc>
        <w:tc>
          <w:tcPr>
            <w:tcW w:w="3544" w:type="dxa"/>
            <w:gridSpan w:val="3"/>
            <w:tcBorders>
              <w:top w:val="single" w:sz="8" w:space="0" w:color="4F81BD"/>
              <w:left w:val="nil"/>
              <w:bottom w:val="nil"/>
              <w:right w:val="nil"/>
            </w:tcBorders>
            <w:shd w:val="clear" w:color="000000" w:fill="4F81BD"/>
            <w:hideMark/>
          </w:tcPr>
          <w:p w14:paraId="61062BD3" w14:textId="77777777" w:rsidR="00261868" w:rsidRPr="00261868" w:rsidRDefault="00261868" w:rsidP="00F959E6">
            <w:pPr>
              <w:spacing w:after="0" w:line="240" w:lineRule="auto"/>
              <w:jc w:val="both"/>
              <w:rPr>
                <w:rFonts w:ascii="Arial" w:eastAsia="Times New Roman" w:hAnsi="Arial" w:cs="Arial"/>
                <w:b/>
                <w:bCs/>
                <w:color w:val="FFFFFF"/>
                <w:sz w:val="20"/>
                <w:szCs w:val="20"/>
                <w:lang w:val="es-CR" w:eastAsia="es-CR"/>
              </w:rPr>
            </w:pPr>
            <w:r w:rsidRPr="00261868">
              <w:rPr>
                <w:rFonts w:ascii="Arial" w:eastAsia="Times New Roman" w:hAnsi="Arial" w:cs="Arial"/>
                <w:b/>
                <w:bCs/>
                <w:color w:val="FFFFFF"/>
                <w:sz w:val="20"/>
                <w:szCs w:val="20"/>
                <w:lang w:val="es-CR" w:eastAsia="es-CR"/>
              </w:rPr>
              <w:t xml:space="preserve">Acciones correctivas </w:t>
            </w:r>
            <w:r w:rsidRPr="00261868">
              <w:rPr>
                <w:rFonts w:ascii="Arial" w:eastAsia="Times New Roman" w:hAnsi="Arial" w:cs="Arial"/>
                <w:b/>
                <w:bCs/>
                <w:color w:val="FFFFFF"/>
                <w:sz w:val="20"/>
                <w:szCs w:val="20"/>
                <w:vertAlign w:val="superscript"/>
                <w:lang w:val="es-CR" w:eastAsia="es-CR"/>
              </w:rPr>
              <w:t>/2</w:t>
            </w:r>
          </w:p>
        </w:tc>
        <w:tc>
          <w:tcPr>
            <w:tcW w:w="1319" w:type="dxa"/>
            <w:tcBorders>
              <w:top w:val="single" w:sz="8" w:space="0" w:color="4F81BD"/>
              <w:left w:val="single" w:sz="8" w:space="0" w:color="4F81BD"/>
              <w:bottom w:val="nil"/>
              <w:right w:val="single" w:sz="8" w:space="0" w:color="4F81BD"/>
            </w:tcBorders>
            <w:shd w:val="clear" w:color="000000" w:fill="4F81BD"/>
            <w:hideMark/>
          </w:tcPr>
          <w:p w14:paraId="44CC3324" w14:textId="77777777" w:rsidR="00261868" w:rsidRPr="00261868" w:rsidRDefault="00261868" w:rsidP="00F959E6">
            <w:pPr>
              <w:spacing w:after="0" w:line="240" w:lineRule="auto"/>
              <w:jc w:val="both"/>
              <w:rPr>
                <w:rFonts w:ascii="Arial" w:eastAsia="Times New Roman" w:hAnsi="Arial" w:cs="Arial"/>
                <w:b/>
                <w:bCs/>
                <w:color w:val="FFFFFF"/>
                <w:sz w:val="20"/>
                <w:szCs w:val="20"/>
                <w:lang w:val="es-CR" w:eastAsia="es-CR"/>
              </w:rPr>
            </w:pPr>
            <w:r w:rsidRPr="00261868">
              <w:rPr>
                <w:rFonts w:ascii="Arial" w:eastAsia="Times New Roman" w:hAnsi="Arial" w:cs="Arial"/>
                <w:b/>
                <w:bCs/>
                <w:color w:val="FFFFFF"/>
                <w:sz w:val="20"/>
                <w:szCs w:val="20"/>
                <w:lang w:val="es-CR" w:eastAsia="es-CR"/>
              </w:rPr>
              <w:t>Persona responsable de brindar la información</w:t>
            </w:r>
          </w:p>
        </w:tc>
        <w:tc>
          <w:tcPr>
            <w:tcW w:w="1663" w:type="dxa"/>
            <w:gridSpan w:val="2"/>
            <w:tcBorders>
              <w:top w:val="single" w:sz="8" w:space="0" w:color="4F81BD"/>
              <w:left w:val="nil"/>
              <w:bottom w:val="nil"/>
              <w:right w:val="single" w:sz="8" w:space="0" w:color="4F81BD"/>
            </w:tcBorders>
            <w:shd w:val="clear" w:color="000000" w:fill="4F81BD"/>
            <w:hideMark/>
          </w:tcPr>
          <w:p w14:paraId="68D2BEB9" w14:textId="77777777" w:rsidR="00261868" w:rsidRPr="00261868" w:rsidRDefault="00261868" w:rsidP="00F959E6">
            <w:pPr>
              <w:spacing w:after="0" w:line="240" w:lineRule="auto"/>
              <w:jc w:val="both"/>
              <w:rPr>
                <w:rFonts w:ascii="Arial" w:eastAsia="Times New Roman" w:hAnsi="Arial" w:cs="Arial"/>
                <w:b/>
                <w:bCs/>
                <w:color w:val="FFFFFF"/>
                <w:sz w:val="20"/>
                <w:szCs w:val="20"/>
                <w:lang w:val="es-CR" w:eastAsia="es-CR"/>
              </w:rPr>
            </w:pPr>
            <w:r w:rsidRPr="00261868">
              <w:rPr>
                <w:rFonts w:ascii="Arial" w:eastAsia="Times New Roman" w:hAnsi="Arial" w:cs="Arial"/>
                <w:b/>
                <w:bCs/>
                <w:color w:val="FFFFFF"/>
                <w:sz w:val="20"/>
                <w:szCs w:val="20"/>
                <w:lang w:val="es-CR" w:eastAsia="es-CR"/>
              </w:rPr>
              <w:t xml:space="preserve">Fecha de implementación </w:t>
            </w:r>
            <w:r w:rsidRPr="00261868">
              <w:rPr>
                <w:rFonts w:ascii="Arial" w:eastAsia="Times New Roman" w:hAnsi="Arial" w:cs="Arial"/>
                <w:b/>
                <w:bCs/>
                <w:color w:val="FFFFFF"/>
                <w:sz w:val="20"/>
                <w:szCs w:val="20"/>
                <w:vertAlign w:val="superscript"/>
                <w:lang w:val="es-CR" w:eastAsia="es-CR"/>
              </w:rPr>
              <w:t>/3</w:t>
            </w:r>
          </w:p>
        </w:tc>
      </w:tr>
      <w:tr w:rsidR="00261868" w:rsidRPr="00261868" w14:paraId="778DED6E" w14:textId="77777777" w:rsidTr="00140BF3">
        <w:trPr>
          <w:gridAfter w:val="1"/>
          <w:wAfter w:w="271" w:type="dxa"/>
          <w:trHeight w:val="1800"/>
        </w:trPr>
        <w:tc>
          <w:tcPr>
            <w:tcW w:w="1463" w:type="dxa"/>
            <w:tcBorders>
              <w:top w:val="single" w:sz="8" w:space="0" w:color="4F81BD"/>
              <w:left w:val="single" w:sz="8" w:space="0" w:color="4F81BD"/>
              <w:bottom w:val="single" w:sz="8" w:space="0" w:color="4F81BD"/>
              <w:right w:val="nil"/>
            </w:tcBorders>
            <w:shd w:val="clear" w:color="auto" w:fill="auto"/>
            <w:hideMark/>
          </w:tcPr>
          <w:p w14:paraId="265DBBE2" w14:textId="77777777" w:rsidR="00261868" w:rsidRPr="00261868" w:rsidRDefault="00261868" w:rsidP="00F959E6">
            <w:pPr>
              <w:spacing w:after="0" w:line="360" w:lineRule="auto"/>
              <w:jc w:val="both"/>
              <w:rPr>
                <w:rFonts w:ascii="Arial" w:eastAsia="Times New Roman" w:hAnsi="Arial" w:cs="Arial"/>
                <w:sz w:val="20"/>
                <w:szCs w:val="20"/>
                <w:lang w:val="es-CR" w:eastAsia="es-CR"/>
              </w:rPr>
            </w:pPr>
            <w:r w:rsidRPr="00261868">
              <w:rPr>
                <w:rFonts w:ascii="Arial" w:eastAsia="Times New Roman" w:hAnsi="Arial" w:cs="Arial"/>
                <w:sz w:val="20"/>
                <w:szCs w:val="20"/>
                <w:lang w:val="es-CR" w:eastAsia="es-CR"/>
              </w:rPr>
              <w:t>Servicios</w:t>
            </w:r>
          </w:p>
        </w:tc>
        <w:tc>
          <w:tcPr>
            <w:tcW w:w="1089" w:type="dxa"/>
            <w:tcBorders>
              <w:top w:val="single" w:sz="8" w:space="0" w:color="4F81BD"/>
              <w:left w:val="single" w:sz="8" w:space="0" w:color="4F81BD"/>
              <w:bottom w:val="single" w:sz="8" w:space="0" w:color="4F81BD"/>
              <w:right w:val="single" w:sz="8" w:space="0" w:color="4F81BD"/>
            </w:tcBorders>
            <w:shd w:val="clear" w:color="auto" w:fill="auto"/>
            <w:hideMark/>
          </w:tcPr>
          <w:p w14:paraId="74FD9DCC" w14:textId="77777777" w:rsidR="00261868" w:rsidRPr="00261868" w:rsidRDefault="00261868" w:rsidP="00F959E6">
            <w:pPr>
              <w:spacing w:after="0" w:line="360" w:lineRule="auto"/>
              <w:jc w:val="both"/>
              <w:rPr>
                <w:rFonts w:ascii="Arial" w:eastAsia="Times New Roman" w:hAnsi="Arial" w:cs="Arial"/>
                <w:sz w:val="20"/>
                <w:szCs w:val="20"/>
                <w:lang w:val="es-CR" w:eastAsia="es-CR"/>
              </w:rPr>
            </w:pPr>
            <w:r w:rsidRPr="00261868">
              <w:rPr>
                <w:rFonts w:ascii="Arial" w:eastAsia="Times New Roman" w:hAnsi="Arial" w:cs="Arial"/>
                <w:sz w:val="20"/>
                <w:szCs w:val="20"/>
                <w:lang w:val="es-CR" w:eastAsia="es-CR"/>
              </w:rPr>
              <w:t>85,09%</w:t>
            </w:r>
          </w:p>
        </w:tc>
        <w:tc>
          <w:tcPr>
            <w:tcW w:w="3544" w:type="dxa"/>
            <w:gridSpan w:val="3"/>
            <w:tcBorders>
              <w:top w:val="single" w:sz="8" w:space="0" w:color="4F81BD"/>
              <w:left w:val="nil"/>
              <w:bottom w:val="single" w:sz="8" w:space="0" w:color="4F81BD"/>
              <w:right w:val="nil"/>
            </w:tcBorders>
            <w:shd w:val="clear" w:color="auto" w:fill="auto"/>
            <w:hideMark/>
          </w:tcPr>
          <w:p w14:paraId="409B8D00" w14:textId="0C6BB94E" w:rsidR="00261868" w:rsidRPr="00261868" w:rsidRDefault="00261868" w:rsidP="00F959E6">
            <w:pPr>
              <w:spacing w:after="0" w:line="360" w:lineRule="auto"/>
              <w:jc w:val="both"/>
              <w:rPr>
                <w:rFonts w:ascii="Arial" w:eastAsia="Times New Roman" w:hAnsi="Arial" w:cs="Arial"/>
                <w:sz w:val="20"/>
                <w:szCs w:val="20"/>
                <w:lang w:val="es-CR" w:eastAsia="es-CR"/>
              </w:rPr>
            </w:pPr>
            <w:r w:rsidRPr="00261868">
              <w:rPr>
                <w:rFonts w:ascii="Arial" w:eastAsia="Times New Roman" w:hAnsi="Arial" w:cs="Arial"/>
                <w:sz w:val="20"/>
                <w:szCs w:val="20"/>
                <w:lang w:val="es-CR" w:eastAsia="es-CR"/>
              </w:rPr>
              <w:t>Se hará una revisión de los porcentajes de ejecución para coordinar acciones de mejora correctiva con las unidades ejecutoras de gasto, en caso de aquellas subpartidas que muestren ejecuciones inferiores al 25</w:t>
            </w:r>
            <w:r w:rsidR="00A34A96">
              <w:rPr>
                <w:rFonts w:ascii="Arial" w:eastAsia="Times New Roman" w:hAnsi="Arial" w:cs="Arial"/>
                <w:sz w:val="20"/>
                <w:szCs w:val="20"/>
                <w:lang w:val="es-CR" w:eastAsia="es-CR"/>
              </w:rPr>
              <w:t>,00</w:t>
            </w:r>
            <w:r w:rsidRPr="00261868">
              <w:rPr>
                <w:rFonts w:ascii="Arial" w:eastAsia="Times New Roman" w:hAnsi="Arial" w:cs="Arial"/>
                <w:sz w:val="20"/>
                <w:szCs w:val="20"/>
                <w:lang w:val="es-CR" w:eastAsia="es-CR"/>
              </w:rPr>
              <w:t>% y 50</w:t>
            </w:r>
            <w:r w:rsidR="00A34A96">
              <w:rPr>
                <w:rFonts w:ascii="Arial" w:eastAsia="Times New Roman" w:hAnsi="Arial" w:cs="Arial"/>
                <w:sz w:val="20"/>
                <w:szCs w:val="20"/>
                <w:lang w:val="es-CR" w:eastAsia="es-CR"/>
              </w:rPr>
              <w:t>,00</w:t>
            </w:r>
            <w:r w:rsidRPr="00261868">
              <w:rPr>
                <w:rFonts w:ascii="Arial" w:eastAsia="Times New Roman" w:hAnsi="Arial" w:cs="Arial"/>
                <w:sz w:val="20"/>
                <w:szCs w:val="20"/>
                <w:lang w:val="es-CR" w:eastAsia="es-CR"/>
              </w:rPr>
              <w:t>% que en el plan de compras cuenten con atrasos, durante el cierre del I y II Trimestre del 2022.</w:t>
            </w:r>
          </w:p>
        </w:tc>
        <w:tc>
          <w:tcPr>
            <w:tcW w:w="1319" w:type="dxa"/>
            <w:tcBorders>
              <w:top w:val="single" w:sz="8" w:space="0" w:color="4F81BD"/>
              <w:left w:val="single" w:sz="8" w:space="0" w:color="4F81BD"/>
              <w:bottom w:val="single" w:sz="8" w:space="0" w:color="4F81BD"/>
              <w:right w:val="single" w:sz="8" w:space="0" w:color="4F81BD"/>
            </w:tcBorders>
            <w:shd w:val="clear" w:color="auto" w:fill="auto"/>
            <w:hideMark/>
          </w:tcPr>
          <w:p w14:paraId="2A7D1670" w14:textId="77777777" w:rsidR="00261868" w:rsidRPr="00261868" w:rsidRDefault="00261868" w:rsidP="00F959E6">
            <w:pPr>
              <w:spacing w:after="0" w:line="360" w:lineRule="auto"/>
              <w:jc w:val="both"/>
              <w:rPr>
                <w:rFonts w:ascii="Arial" w:eastAsia="Times New Roman" w:hAnsi="Arial" w:cs="Arial"/>
                <w:sz w:val="20"/>
                <w:szCs w:val="20"/>
                <w:lang w:val="es-CR" w:eastAsia="es-CR"/>
              </w:rPr>
            </w:pPr>
            <w:r w:rsidRPr="00261868">
              <w:rPr>
                <w:rFonts w:ascii="Arial" w:eastAsia="Times New Roman" w:hAnsi="Arial" w:cs="Arial"/>
                <w:sz w:val="20"/>
                <w:szCs w:val="20"/>
                <w:lang w:val="es-CR" w:eastAsia="es-CR"/>
              </w:rPr>
              <w:t>Paola Flores Rosales, Guido Sandoval Carrera, Marcela Ortiz Bonilla y Sergio Andrés Rodríguez Fernández.</w:t>
            </w:r>
          </w:p>
        </w:tc>
        <w:tc>
          <w:tcPr>
            <w:tcW w:w="1663" w:type="dxa"/>
            <w:gridSpan w:val="2"/>
            <w:tcBorders>
              <w:top w:val="single" w:sz="8" w:space="0" w:color="4F81BD"/>
              <w:left w:val="nil"/>
              <w:bottom w:val="single" w:sz="8" w:space="0" w:color="4F81BD"/>
              <w:right w:val="single" w:sz="8" w:space="0" w:color="4F81BD"/>
            </w:tcBorders>
            <w:shd w:val="clear" w:color="auto" w:fill="auto"/>
            <w:hideMark/>
          </w:tcPr>
          <w:p w14:paraId="1BD28D92" w14:textId="77777777" w:rsidR="00261868" w:rsidRPr="00261868" w:rsidRDefault="00261868" w:rsidP="00F959E6">
            <w:pPr>
              <w:spacing w:after="0" w:line="360" w:lineRule="auto"/>
              <w:jc w:val="both"/>
              <w:rPr>
                <w:rFonts w:ascii="Arial" w:eastAsia="Times New Roman" w:hAnsi="Arial" w:cs="Arial"/>
                <w:sz w:val="20"/>
                <w:szCs w:val="20"/>
                <w:lang w:val="es-CR" w:eastAsia="es-CR"/>
              </w:rPr>
            </w:pPr>
            <w:r w:rsidRPr="00261868">
              <w:rPr>
                <w:rFonts w:ascii="Arial" w:eastAsia="Times New Roman" w:hAnsi="Arial" w:cs="Arial"/>
                <w:sz w:val="20"/>
                <w:szCs w:val="20"/>
                <w:lang w:val="es-CR" w:eastAsia="es-CR"/>
              </w:rPr>
              <w:t>15/4/2022</w:t>
            </w:r>
          </w:p>
        </w:tc>
      </w:tr>
      <w:tr w:rsidR="00261868" w:rsidRPr="00261868" w14:paraId="55C31BEF" w14:textId="77777777" w:rsidTr="00140BF3">
        <w:trPr>
          <w:gridAfter w:val="1"/>
          <w:wAfter w:w="271" w:type="dxa"/>
          <w:trHeight w:val="1800"/>
        </w:trPr>
        <w:tc>
          <w:tcPr>
            <w:tcW w:w="1463" w:type="dxa"/>
            <w:tcBorders>
              <w:top w:val="nil"/>
              <w:left w:val="single" w:sz="8" w:space="0" w:color="4F81BD"/>
              <w:bottom w:val="single" w:sz="8" w:space="0" w:color="4F81BD"/>
              <w:right w:val="nil"/>
            </w:tcBorders>
            <w:shd w:val="clear" w:color="auto" w:fill="auto"/>
            <w:hideMark/>
          </w:tcPr>
          <w:p w14:paraId="1ADA9B89" w14:textId="77777777" w:rsidR="00261868" w:rsidRPr="00261868" w:rsidRDefault="00261868" w:rsidP="00F959E6">
            <w:pPr>
              <w:spacing w:after="0" w:line="360" w:lineRule="auto"/>
              <w:jc w:val="both"/>
              <w:rPr>
                <w:rFonts w:ascii="Arial" w:eastAsia="Times New Roman" w:hAnsi="Arial" w:cs="Arial"/>
                <w:sz w:val="20"/>
                <w:szCs w:val="20"/>
                <w:lang w:val="es-CR" w:eastAsia="es-CR"/>
              </w:rPr>
            </w:pPr>
            <w:r w:rsidRPr="00261868">
              <w:rPr>
                <w:rFonts w:ascii="Arial" w:eastAsia="Times New Roman" w:hAnsi="Arial" w:cs="Arial"/>
                <w:sz w:val="20"/>
                <w:szCs w:val="20"/>
                <w:lang w:val="es-CR" w:eastAsia="es-CR"/>
              </w:rPr>
              <w:t>Materiales</w:t>
            </w:r>
          </w:p>
        </w:tc>
        <w:tc>
          <w:tcPr>
            <w:tcW w:w="1089" w:type="dxa"/>
            <w:tcBorders>
              <w:top w:val="nil"/>
              <w:left w:val="single" w:sz="8" w:space="0" w:color="4F81BD"/>
              <w:bottom w:val="single" w:sz="8" w:space="0" w:color="4F81BD"/>
              <w:right w:val="single" w:sz="8" w:space="0" w:color="4F81BD"/>
            </w:tcBorders>
            <w:shd w:val="clear" w:color="auto" w:fill="auto"/>
            <w:hideMark/>
          </w:tcPr>
          <w:p w14:paraId="4F8D92F0" w14:textId="77777777" w:rsidR="00261868" w:rsidRPr="00261868" w:rsidRDefault="00261868" w:rsidP="00F959E6">
            <w:pPr>
              <w:spacing w:after="0" w:line="360" w:lineRule="auto"/>
              <w:jc w:val="both"/>
              <w:rPr>
                <w:rFonts w:ascii="Arial" w:eastAsia="Times New Roman" w:hAnsi="Arial" w:cs="Arial"/>
                <w:sz w:val="20"/>
                <w:szCs w:val="20"/>
                <w:lang w:val="es-CR" w:eastAsia="es-CR"/>
              </w:rPr>
            </w:pPr>
            <w:r w:rsidRPr="00261868">
              <w:rPr>
                <w:rFonts w:ascii="Arial" w:eastAsia="Times New Roman" w:hAnsi="Arial" w:cs="Arial"/>
                <w:sz w:val="20"/>
                <w:szCs w:val="20"/>
                <w:lang w:val="es-CR" w:eastAsia="es-CR"/>
              </w:rPr>
              <w:t>64,77%</w:t>
            </w:r>
          </w:p>
        </w:tc>
        <w:tc>
          <w:tcPr>
            <w:tcW w:w="3544" w:type="dxa"/>
            <w:gridSpan w:val="3"/>
            <w:tcBorders>
              <w:top w:val="nil"/>
              <w:left w:val="nil"/>
              <w:bottom w:val="single" w:sz="8" w:space="0" w:color="4F81BD"/>
              <w:right w:val="nil"/>
            </w:tcBorders>
            <w:shd w:val="clear" w:color="auto" w:fill="auto"/>
            <w:hideMark/>
          </w:tcPr>
          <w:p w14:paraId="054AD590" w14:textId="4859BCA0" w:rsidR="00261868" w:rsidRPr="00261868" w:rsidRDefault="00261868" w:rsidP="00F959E6">
            <w:pPr>
              <w:spacing w:after="0" w:line="360" w:lineRule="auto"/>
              <w:jc w:val="both"/>
              <w:rPr>
                <w:rFonts w:ascii="Arial" w:eastAsia="Times New Roman" w:hAnsi="Arial" w:cs="Arial"/>
                <w:sz w:val="20"/>
                <w:szCs w:val="20"/>
                <w:lang w:val="es-CR" w:eastAsia="es-CR"/>
              </w:rPr>
            </w:pPr>
            <w:r w:rsidRPr="00261868">
              <w:rPr>
                <w:rFonts w:ascii="Arial" w:eastAsia="Times New Roman" w:hAnsi="Arial" w:cs="Arial"/>
                <w:sz w:val="20"/>
                <w:szCs w:val="20"/>
                <w:lang w:val="es-CR" w:eastAsia="es-CR"/>
              </w:rPr>
              <w:t>Se hará una revisión de los porcentajes de ejecución para coordinar acciones de mejora correctiva con las unidades ejecutoras de gasto, en caso de aquellas subpartidas que muestren ejecuciones inferiores al 25</w:t>
            </w:r>
            <w:r w:rsidR="00A34A96">
              <w:rPr>
                <w:rFonts w:ascii="Arial" w:eastAsia="Times New Roman" w:hAnsi="Arial" w:cs="Arial"/>
                <w:sz w:val="20"/>
                <w:szCs w:val="20"/>
                <w:lang w:val="es-CR" w:eastAsia="es-CR"/>
              </w:rPr>
              <w:t>,00</w:t>
            </w:r>
            <w:r w:rsidRPr="00261868">
              <w:rPr>
                <w:rFonts w:ascii="Arial" w:eastAsia="Times New Roman" w:hAnsi="Arial" w:cs="Arial"/>
                <w:sz w:val="20"/>
                <w:szCs w:val="20"/>
                <w:lang w:val="es-CR" w:eastAsia="es-CR"/>
              </w:rPr>
              <w:t>% y 50</w:t>
            </w:r>
            <w:r w:rsidR="00A34A96">
              <w:rPr>
                <w:rFonts w:ascii="Arial" w:eastAsia="Times New Roman" w:hAnsi="Arial" w:cs="Arial"/>
                <w:sz w:val="20"/>
                <w:szCs w:val="20"/>
                <w:lang w:val="es-CR" w:eastAsia="es-CR"/>
              </w:rPr>
              <w:t>,00</w:t>
            </w:r>
            <w:r w:rsidRPr="00261868">
              <w:rPr>
                <w:rFonts w:ascii="Arial" w:eastAsia="Times New Roman" w:hAnsi="Arial" w:cs="Arial"/>
                <w:sz w:val="20"/>
                <w:szCs w:val="20"/>
                <w:lang w:val="es-CR" w:eastAsia="es-CR"/>
              </w:rPr>
              <w:t>% que en el plan de compras cuenten con atrasos, durante el cierre del I y II Trimestre del 2022.</w:t>
            </w:r>
          </w:p>
        </w:tc>
        <w:tc>
          <w:tcPr>
            <w:tcW w:w="1319" w:type="dxa"/>
            <w:tcBorders>
              <w:top w:val="nil"/>
              <w:left w:val="single" w:sz="8" w:space="0" w:color="4F81BD"/>
              <w:bottom w:val="single" w:sz="8" w:space="0" w:color="4F81BD"/>
              <w:right w:val="single" w:sz="8" w:space="0" w:color="4F81BD"/>
            </w:tcBorders>
            <w:shd w:val="clear" w:color="auto" w:fill="auto"/>
            <w:hideMark/>
          </w:tcPr>
          <w:p w14:paraId="22EF96A8" w14:textId="77777777" w:rsidR="00261868" w:rsidRPr="00261868" w:rsidRDefault="00261868" w:rsidP="00F959E6">
            <w:pPr>
              <w:spacing w:after="0" w:line="360" w:lineRule="auto"/>
              <w:jc w:val="both"/>
              <w:rPr>
                <w:rFonts w:ascii="Arial" w:eastAsia="Times New Roman" w:hAnsi="Arial" w:cs="Arial"/>
                <w:sz w:val="20"/>
                <w:szCs w:val="20"/>
                <w:lang w:val="es-CR" w:eastAsia="es-CR"/>
              </w:rPr>
            </w:pPr>
            <w:r w:rsidRPr="00261868">
              <w:rPr>
                <w:rFonts w:ascii="Arial" w:eastAsia="Times New Roman" w:hAnsi="Arial" w:cs="Arial"/>
                <w:sz w:val="20"/>
                <w:szCs w:val="20"/>
                <w:lang w:val="es-CR" w:eastAsia="es-CR"/>
              </w:rPr>
              <w:t>Paola Flores Rosales, Guido Sandoval Carrera, Marcela Ortiz Bonilla y Sergio Andrés Rodríguez Fernández.</w:t>
            </w:r>
          </w:p>
        </w:tc>
        <w:tc>
          <w:tcPr>
            <w:tcW w:w="1663" w:type="dxa"/>
            <w:gridSpan w:val="2"/>
            <w:tcBorders>
              <w:top w:val="nil"/>
              <w:left w:val="nil"/>
              <w:bottom w:val="single" w:sz="8" w:space="0" w:color="4F81BD"/>
              <w:right w:val="single" w:sz="8" w:space="0" w:color="4F81BD"/>
            </w:tcBorders>
            <w:shd w:val="clear" w:color="auto" w:fill="auto"/>
            <w:hideMark/>
          </w:tcPr>
          <w:p w14:paraId="5C737E5A" w14:textId="77777777" w:rsidR="00261868" w:rsidRPr="00261868" w:rsidRDefault="00261868" w:rsidP="00F959E6">
            <w:pPr>
              <w:spacing w:after="0" w:line="360" w:lineRule="auto"/>
              <w:jc w:val="both"/>
              <w:rPr>
                <w:rFonts w:ascii="Arial" w:eastAsia="Times New Roman" w:hAnsi="Arial" w:cs="Arial"/>
                <w:sz w:val="20"/>
                <w:szCs w:val="20"/>
                <w:lang w:val="es-CR" w:eastAsia="es-CR"/>
              </w:rPr>
            </w:pPr>
            <w:r w:rsidRPr="00261868">
              <w:rPr>
                <w:rFonts w:ascii="Arial" w:eastAsia="Times New Roman" w:hAnsi="Arial" w:cs="Arial"/>
                <w:sz w:val="20"/>
                <w:szCs w:val="20"/>
                <w:lang w:val="es-CR" w:eastAsia="es-CR"/>
              </w:rPr>
              <w:t>15/4/2022</w:t>
            </w:r>
          </w:p>
        </w:tc>
      </w:tr>
      <w:tr w:rsidR="00261868" w:rsidRPr="00261868" w14:paraId="39972064" w14:textId="77777777" w:rsidTr="00140BF3">
        <w:trPr>
          <w:gridAfter w:val="1"/>
          <w:wAfter w:w="271" w:type="dxa"/>
          <w:trHeight w:val="1035"/>
        </w:trPr>
        <w:tc>
          <w:tcPr>
            <w:tcW w:w="1463" w:type="dxa"/>
            <w:tcBorders>
              <w:top w:val="nil"/>
              <w:left w:val="single" w:sz="8" w:space="0" w:color="4F81BD"/>
              <w:bottom w:val="nil"/>
              <w:right w:val="nil"/>
            </w:tcBorders>
            <w:shd w:val="clear" w:color="auto" w:fill="auto"/>
            <w:hideMark/>
          </w:tcPr>
          <w:p w14:paraId="3913867A" w14:textId="77777777" w:rsidR="00261868" w:rsidRPr="00261868" w:rsidRDefault="00261868" w:rsidP="00F959E6">
            <w:pPr>
              <w:spacing w:after="0" w:line="360" w:lineRule="auto"/>
              <w:jc w:val="both"/>
              <w:rPr>
                <w:rFonts w:ascii="Arial" w:eastAsia="Times New Roman" w:hAnsi="Arial" w:cs="Arial"/>
                <w:sz w:val="20"/>
                <w:szCs w:val="20"/>
                <w:lang w:val="es-CR" w:eastAsia="es-CR"/>
              </w:rPr>
            </w:pPr>
            <w:r w:rsidRPr="00261868">
              <w:rPr>
                <w:rFonts w:ascii="Arial" w:eastAsia="Times New Roman" w:hAnsi="Arial" w:cs="Arial"/>
                <w:sz w:val="20"/>
                <w:szCs w:val="20"/>
                <w:lang w:val="es-CR" w:eastAsia="es-CR"/>
              </w:rPr>
              <w:t>Bienes duraderos</w:t>
            </w:r>
          </w:p>
        </w:tc>
        <w:tc>
          <w:tcPr>
            <w:tcW w:w="1089" w:type="dxa"/>
            <w:tcBorders>
              <w:top w:val="nil"/>
              <w:left w:val="single" w:sz="8" w:space="0" w:color="4F81BD"/>
              <w:bottom w:val="single" w:sz="8" w:space="0" w:color="4F81BD"/>
              <w:right w:val="single" w:sz="8" w:space="0" w:color="4F81BD"/>
            </w:tcBorders>
            <w:shd w:val="clear" w:color="auto" w:fill="auto"/>
            <w:hideMark/>
          </w:tcPr>
          <w:p w14:paraId="3D1ACA51" w14:textId="77777777" w:rsidR="00261868" w:rsidRPr="00261868" w:rsidRDefault="00261868" w:rsidP="00F959E6">
            <w:pPr>
              <w:spacing w:after="0" w:line="360" w:lineRule="auto"/>
              <w:jc w:val="both"/>
              <w:rPr>
                <w:rFonts w:ascii="Arial" w:eastAsia="Times New Roman" w:hAnsi="Arial" w:cs="Arial"/>
                <w:sz w:val="20"/>
                <w:szCs w:val="20"/>
                <w:lang w:val="es-CR" w:eastAsia="es-CR"/>
              </w:rPr>
            </w:pPr>
            <w:r w:rsidRPr="00261868">
              <w:rPr>
                <w:rFonts w:ascii="Arial" w:eastAsia="Times New Roman" w:hAnsi="Arial" w:cs="Arial"/>
                <w:sz w:val="20"/>
                <w:szCs w:val="20"/>
                <w:lang w:val="es-CR" w:eastAsia="es-CR"/>
              </w:rPr>
              <w:t>12,47%</w:t>
            </w:r>
          </w:p>
        </w:tc>
        <w:tc>
          <w:tcPr>
            <w:tcW w:w="3544" w:type="dxa"/>
            <w:gridSpan w:val="3"/>
            <w:tcBorders>
              <w:top w:val="nil"/>
              <w:left w:val="nil"/>
              <w:bottom w:val="single" w:sz="8" w:space="0" w:color="4F81BD"/>
              <w:right w:val="nil"/>
            </w:tcBorders>
            <w:shd w:val="clear" w:color="auto" w:fill="auto"/>
            <w:hideMark/>
          </w:tcPr>
          <w:p w14:paraId="47D050A7" w14:textId="77777777" w:rsidR="00261868" w:rsidRPr="00261868" w:rsidRDefault="00261868" w:rsidP="00F959E6">
            <w:pPr>
              <w:spacing w:after="0" w:line="360" w:lineRule="auto"/>
              <w:jc w:val="both"/>
              <w:rPr>
                <w:rFonts w:ascii="Arial" w:eastAsia="Times New Roman" w:hAnsi="Arial" w:cs="Arial"/>
                <w:sz w:val="20"/>
                <w:szCs w:val="20"/>
                <w:lang w:val="es-CR" w:eastAsia="es-CR"/>
              </w:rPr>
            </w:pPr>
            <w:r w:rsidRPr="00261868">
              <w:rPr>
                <w:rFonts w:ascii="Arial" w:eastAsia="Times New Roman" w:hAnsi="Arial" w:cs="Arial"/>
                <w:sz w:val="20"/>
                <w:szCs w:val="20"/>
                <w:lang w:val="es-CR" w:eastAsia="es-CR"/>
              </w:rPr>
              <w:t>Se seguirá coordinando a través de la Unidad de Planificación la Inscripción de los proyectos de inversión pública programados para el 2022, que cuentan con presupuesto ordinario aprobado.</w:t>
            </w:r>
          </w:p>
        </w:tc>
        <w:tc>
          <w:tcPr>
            <w:tcW w:w="1319" w:type="dxa"/>
            <w:tcBorders>
              <w:top w:val="nil"/>
              <w:left w:val="single" w:sz="8" w:space="0" w:color="4F81BD"/>
              <w:bottom w:val="single" w:sz="8" w:space="0" w:color="4F81BD"/>
              <w:right w:val="single" w:sz="8" w:space="0" w:color="4F81BD"/>
            </w:tcBorders>
            <w:shd w:val="clear" w:color="auto" w:fill="auto"/>
            <w:hideMark/>
          </w:tcPr>
          <w:p w14:paraId="1DB2FE99" w14:textId="77777777" w:rsidR="00261868" w:rsidRPr="00261868" w:rsidRDefault="00261868" w:rsidP="00F959E6">
            <w:pPr>
              <w:spacing w:after="0" w:line="360" w:lineRule="auto"/>
              <w:jc w:val="both"/>
              <w:rPr>
                <w:rFonts w:ascii="Arial" w:eastAsia="Times New Roman" w:hAnsi="Arial" w:cs="Arial"/>
                <w:sz w:val="20"/>
                <w:szCs w:val="20"/>
                <w:lang w:val="es-CR" w:eastAsia="es-CR"/>
              </w:rPr>
            </w:pPr>
            <w:r w:rsidRPr="00261868">
              <w:rPr>
                <w:rFonts w:ascii="Arial" w:eastAsia="Times New Roman" w:hAnsi="Arial" w:cs="Arial"/>
                <w:sz w:val="20"/>
                <w:szCs w:val="20"/>
                <w:lang w:val="es-CR" w:eastAsia="es-CR"/>
              </w:rPr>
              <w:t xml:space="preserve">Paola Flores Rosales, Karen Segura Fernández, Marcela Ortiz </w:t>
            </w:r>
            <w:r w:rsidRPr="00261868">
              <w:rPr>
                <w:rFonts w:ascii="Arial" w:eastAsia="Times New Roman" w:hAnsi="Arial" w:cs="Arial"/>
                <w:sz w:val="20"/>
                <w:szCs w:val="20"/>
                <w:lang w:val="es-CR" w:eastAsia="es-CR"/>
              </w:rPr>
              <w:lastRenderedPageBreak/>
              <w:t>Bonilla y Sergio Andrés Rodríguez Fernández.</w:t>
            </w:r>
          </w:p>
        </w:tc>
        <w:tc>
          <w:tcPr>
            <w:tcW w:w="1663" w:type="dxa"/>
            <w:gridSpan w:val="2"/>
            <w:tcBorders>
              <w:top w:val="nil"/>
              <w:left w:val="nil"/>
              <w:bottom w:val="single" w:sz="8" w:space="0" w:color="4F81BD"/>
              <w:right w:val="single" w:sz="8" w:space="0" w:color="4F81BD"/>
            </w:tcBorders>
            <w:shd w:val="clear" w:color="auto" w:fill="auto"/>
            <w:hideMark/>
          </w:tcPr>
          <w:p w14:paraId="76DDE495" w14:textId="77777777" w:rsidR="00261868" w:rsidRPr="00261868" w:rsidRDefault="00261868" w:rsidP="00F959E6">
            <w:pPr>
              <w:spacing w:after="0" w:line="360" w:lineRule="auto"/>
              <w:jc w:val="both"/>
              <w:rPr>
                <w:rFonts w:ascii="Arial" w:eastAsia="Times New Roman" w:hAnsi="Arial" w:cs="Arial"/>
                <w:sz w:val="20"/>
                <w:szCs w:val="20"/>
                <w:lang w:val="es-CR" w:eastAsia="es-CR"/>
              </w:rPr>
            </w:pPr>
            <w:r w:rsidRPr="00261868">
              <w:rPr>
                <w:rFonts w:ascii="Arial" w:eastAsia="Times New Roman" w:hAnsi="Arial" w:cs="Arial"/>
                <w:sz w:val="20"/>
                <w:szCs w:val="20"/>
                <w:lang w:val="es-CR" w:eastAsia="es-CR"/>
              </w:rPr>
              <w:lastRenderedPageBreak/>
              <w:t>8/2/2022</w:t>
            </w:r>
          </w:p>
        </w:tc>
      </w:tr>
      <w:tr w:rsidR="000353BD" w:rsidRPr="00261868" w14:paraId="1E52BB15" w14:textId="77777777" w:rsidTr="00140BF3">
        <w:trPr>
          <w:gridAfter w:val="1"/>
          <w:wAfter w:w="271" w:type="dxa"/>
          <w:trHeight w:val="1545"/>
        </w:trPr>
        <w:tc>
          <w:tcPr>
            <w:tcW w:w="1463" w:type="dxa"/>
            <w:tcBorders>
              <w:top w:val="single" w:sz="8" w:space="0" w:color="4F81BD"/>
              <w:left w:val="single" w:sz="8" w:space="0" w:color="4F81BD"/>
              <w:bottom w:val="single" w:sz="8" w:space="0" w:color="4F81BD"/>
              <w:right w:val="nil"/>
            </w:tcBorders>
            <w:shd w:val="clear" w:color="auto" w:fill="auto"/>
            <w:hideMark/>
          </w:tcPr>
          <w:p w14:paraId="75C26455" w14:textId="77777777" w:rsidR="000353BD" w:rsidRPr="00261868" w:rsidRDefault="000353BD" w:rsidP="00F959E6">
            <w:pPr>
              <w:spacing w:after="0" w:line="360" w:lineRule="auto"/>
              <w:jc w:val="both"/>
              <w:rPr>
                <w:rFonts w:ascii="Arial" w:eastAsia="Times New Roman" w:hAnsi="Arial" w:cs="Arial"/>
                <w:color w:val="000000"/>
                <w:sz w:val="20"/>
                <w:szCs w:val="20"/>
                <w:lang w:val="es-CR" w:eastAsia="es-CR"/>
              </w:rPr>
            </w:pPr>
            <w:r w:rsidRPr="00261868">
              <w:rPr>
                <w:rFonts w:ascii="Arial" w:eastAsia="Times New Roman" w:hAnsi="Arial" w:cs="Arial"/>
                <w:color w:val="000000"/>
                <w:sz w:val="20"/>
                <w:szCs w:val="20"/>
                <w:lang w:val="es-CR" w:eastAsia="es-CR"/>
              </w:rPr>
              <w:t>Transferencias corrientes</w:t>
            </w:r>
          </w:p>
        </w:tc>
        <w:tc>
          <w:tcPr>
            <w:tcW w:w="1089" w:type="dxa"/>
            <w:tcBorders>
              <w:top w:val="nil"/>
              <w:left w:val="single" w:sz="8" w:space="0" w:color="4F81BD"/>
              <w:bottom w:val="single" w:sz="8" w:space="0" w:color="4F81BD"/>
              <w:right w:val="single" w:sz="8" w:space="0" w:color="4F81BD"/>
            </w:tcBorders>
            <w:shd w:val="clear" w:color="auto" w:fill="auto"/>
            <w:noWrap/>
            <w:hideMark/>
          </w:tcPr>
          <w:p w14:paraId="3D900013" w14:textId="77777777" w:rsidR="000353BD" w:rsidRPr="00261868" w:rsidRDefault="000353BD" w:rsidP="00F959E6">
            <w:pPr>
              <w:spacing w:after="0" w:line="360" w:lineRule="auto"/>
              <w:jc w:val="both"/>
              <w:rPr>
                <w:rFonts w:ascii="Arial" w:eastAsia="Times New Roman" w:hAnsi="Arial" w:cs="Arial"/>
                <w:sz w:val="20"/>
                <w:szCs w:val="20"/>
                <w:lang w:val="es-CR" w:eastAsia="es-CR"/>
              </w:rPr>
            </w:pPr>
            <w:r w:rsidRPr="00261868">
              <w:rPr>
                <w:rFonts w:ascii="Arial" w:eastAsia="Times New Roman" w:hAnsi="Arial" w:cs="Arial"/>
                <w:sz w:val="20"/>
                <w:szCs w:val="20"/>
                <w:lang w:val="es-CR" w:eastAsia="es-CR"/>
              </w:rPr>
              <w:t>87,23%</w:t>
            </w:r>
          </w:p>
        </w:tc>
        <w:tc>
          <w:tcPr>
            <w:tcW w:w="3544" w:type="dxa"/>
            <w:gridSpan w:val="3"/>
            <w:tcBorders>
              <w:top w:val="nil"/>
              <w:left w:val="nil"/>
              <w:bottom w:val="single" w:sz="8" w:space="0" w:color="4F81BD"/>
              <w:right w:val="nil"/>
            </w:tcBorders>
            <w:shd w:val="clear" w:color="auto" w:fill="auto"/>
            <w:hideMark/>
          </w:tcPr>
          <w:p w14:paraId="585FA1A8" w14:textId="2FBA1574" w:rsidR="000353BD" w:rsidRPr="00261868" w:rsidRDefault="000353BD" w:rsidP="00F959E6">
            <w:pPr>
              <w:spacing w:after="0" w:line="360" w:lineRule="auto"/>
              <w:jc w:val="both"/>
              <w:rPr>
                <w:rFonts w:ascii="Arial" w:eastAsia="Times New Roman" w:hAnsi="Arial" w:cs="Arial"/>
                <w:color w:val="000000"/>
                <w:sz w:val="20"/>
                <w:szCs w:val="20"/>
                <w:lang w:val="es-CR" w:eastAsia="es-CR"/>
              </w:rPr>
            </w:pPr>
            <w:r w:rsidRPr="00261868">
              <w:rPr>
                <w:rFonts w:ascii="Arial" w:eastAsia="Times New Roman" w:hAnsi="Arial" w:cs="Arial"/>
                <w:color w:val="000000"/>
                <w:sz w:val="20"/>
                <w:szCs w:val="20"/>
                <w:lang w:val="es-CR" w:eastAsia="es-CR"/>
              </w:rPr>
              <w:t>Coordinar con la Unidad de Proyectos de Prevención, el cumplimiento con los requerimientos para realizar las transferencias dentro del II semestre del 2022, incluyendo acuerdos de Consejo Directivo del Instituto Costarricense Sobre Drogas.</w:t>
            </w:r>
          </w:p>
        </w:tc>
        <w:tc>
          <w:tcPr>
            <w:tcW w:w="1319" w:type="dxa"/>
            <w:tcBorders>
              <w:top w:val="nil"/>
              <w:left w:val="single" w:sz="8" w:space="0" w:color="4F81BD"/>
              <w:bottom w:val="single" w:sz="8" w:space="0" w:color="4F81BD"/>
              <w:right w:val="single" w:sz="8" w:space="0" w:color="4F81BD"/>
            </w:tcBorders>
            <w:shd w:val="clear" w:color="auto" w:fill="auto"/>
            <w:hideMark/>
          </w:tcPr>
          <w:p w14:paraId="67C9922E" w14:textId="77777777" w:rsidR="000353BD" w:rsidRPr="00261868" w:rsidRDefault="000353BD" w:rsidP="00F959E6">
            <w:pPr>
              <w:spacing w:after="0" w:line="360" w:lineRule="auto"/>
              <w:jc w:val="both"/>
              <w:rPr>
                <w:rFonts w:ascii="Arial" w:eastAsia="Times New Roman" w:hAnsi="Arial" w:cs="Arial"/>
                <w:sz w:val="20"/>
                <w:szCs w:val="20"/>
                <w:lang w:val="es-CR" w:eastAsia="es-CR"/>
              </w:rPr>
            </w:pPr>
            <w:r w:rsidRPr="00261868">
              <w:rPr>
                <w:rFonts w:ascii="Arial" w:eastAsia="Times New Roman" w:hAnsi="Arial" w:cs="Arial"/>
                <w:sz w:val="20"/>
                <w:szCs w:val="20"/>
                <w:lang w:val="es-CR" w:eastAsia="es-CR"/>
              </w:rPr>
              <w:t>Paola Flores Rosales y Eugenia Mata Chavarría.</w:t>
            </w:r>
          </w:p>
        </w:tc>
        <w:tc>
          <w:tcPr>
            <w:tcW w:w="1663" w:type="dxa"/>
            <w:gridSpan w:val="2"/>
            <w:tcBorders>
              <w:top w:val="nil"/>
              <w:left w:val="nil"/>
              <w:bottom w:val="single" w:sz="8" w:space="0" w:color="4F81BD"/>
              <w:right w:val="single" w:sz="8" w:space="0" w:color="4F81BD"/>
            </w:tcBorders>
            <w:shd w:val="clear" w:color="auto" w:fill="auto"/>
            <w:hideMark/>
          </w:tcPr>
          <w:p w14:paraId="3AF9DAFC" w14:textId="77777777" w:rsidR="000353BD" w:rsidRPr="00261868" w:rsidRDefault="000353BD" w:rsidP="00F959E6">
            <w:pPr>
              <w:spacing w:after="0" w:line="360" w:lineRule="auto"/>
              <w:jc w:val="both"/>
              <w:rPr>
                <w:rFonts w:ascii="Arial" w:eastAsia="Times New Roman" w:hAnsi="Arial" w:cs="Arial"/>
                <w:sz w:val="20"/>
                <w:szCs w:val="20"/>
                <w:lang w:val="es-CR" w:eastAsia="es-CR"/>
              </w:rPr>
            </w:pPr>
            <w:r w:rsidRPr="00261868">
              <w:rPr>
                <w:rFonts w:ascii="Arial" w:eastAsia="Times New Roman" w:hAnsi="Arial" w:cs="Arial"/>
                <w:sz w:val="20"/>
                <w:szCs w:val="20"/>
                <w:lang w:val="es-CR" w:eastAsia="es-CR"/>
              </w:rPr>
              <w:t>8/7/2021</w:t>
            </w:r>
          </w:p>
        </w:tc>
      </w:tr>
      <w:tr w:rsidR="000353BD" w:rsidRPr="00261868" w14:paraId="3548603C" w14:textId="77777777" w:rsidTr="00140BF3">
        <w:trPr>
          <w:trHeight w:val="300"/>
        </w:trPr>
        <w:tc>
          <w:tcPr>
            <w:tcW w:w="9349" w:type="dxa"/>
            <w:gridSpan w:val="9"/>
            <w:tcBorders>
              <w:top w:val="single" w:sz="8" w:space="0" w:color="4F81BD"/>
              <w:left w:val="nil"/>
              <w:bottom w:val="nil"/>
              <w:right w:val="nil"/>
            </w:tcBorders>
            <w:shd w:val="clear" w:color="auto" w:fill="auto"/>
            <w:noWrap/>
            <w:vAlign w:val="center"/>
            <w:hideMark/>
          </w:tcPr>
          <w:p w14:paraId="66DFDDAF" w14:textId="7EB5775D" w:rsidR="000353BD" w:rsidRPr="00261868" w:rsidRDefault="000353BD" w:rsidP="003C6623">
            <w:pPr>
              <w:spacing w:after="0" w:line="360" w:lineRule="auto"/>
              <w:rPr>
                <w:rFonts w:ascii="Arial" w:eastAsia="Times New Roman" w:hAnsi="Arial" w:cs="Arial"/>
                <w:color w:val="000000"/>
                <w:sz w:val="16"/>
                <w:szCs w:val="16"/>
                <w:lang w:val="es-CR" w:eastAsia="es-CR"/>
              </w:rPr>
            </w:pPr>
            <w:r w:rsidRPr="00261868">
              <w:rPr>
                <w:rFonts w:ascii="Arial" w:eastAsia="Times New Roman" w:hAnsi="Arial" w:cs="Arial"/>
                <w:color w:val="000000"/>
                <w:sz w:val="16"/>
                <w:szCs w:val="16"/>
                <w:lang w:val="es-CR" w:eastAsia="es-CR"/>
              </w:rPr>
              <w:t>Fuente: Liquidación facilitada por la DGPN al 31/12/2021 y elaboración propia de la Unidad Administrativa Financiera.</w:t>
            </w:r>
          </w:p>
        </w:tc>
      </w:tr>
      <w:tr w:rsidR="00261868" w:rsidRPr="00261868" w14:paraId="14FC7687" w14:textId="77777777" w:rsidTr="00140BF3">
        <w:trPr>
          <w:trHeight w:val="300"/>
        </w:trPr>
        <w:tc>
          <w:tcPr>
            <w:tcW w:w="9349" w:type="dxa"/>
            <w:gridSpan w:val="9"/>
            <w:tcBorders>
              <w:top w:val="nil"/>
              <w:left w:val="nil"/>
              <w:bottom w:val="nil"/>
              <w:right w:val="nil"/>
            </w:tcBorders>
            <w:shd w:val="clear" w:color="auto" w:fill="auto"/>
            <w:noWrap/>
            <w:vAlign w:val="center"/>
            <w:hideMark/>
          </w:tcPr>
          <w:p w14:paraId="34A0B996" w14:textId="77777777" w:rsidR="00261868" w:rsidRPr="00261868" w:rsidRDefault="00261868" w:rsidP="003C6623">
            <w:pPr>
              <w:spacing w:after="0" w:line="360" w:lineRule="auto"/>
              <w:rPr>
                <w:rFonts w:ascii="Arial" w:eastAsia="Times New Roman" w:hAnsi="Arial" w:cs="Arial"/>
                <w:color w:val="000000"/>
                <w:sz w:val="16"/>
                <w:szCs w:val="16"/>
                <w:lang w:val="es-CR" w:eastAsia="es-CR"/>
              </w:rPr>
            </w:pPr>
            <w:r w:rsidRPr="00261868">
              <w:rPr>
                <w:rFonts w:ascii="Arial" w:eastAsia="Times New Roman" w:hAnsi="Arial" w:cs="Arial"/>
                <w:color w:val="000000"/>
                <w:sz w:val="16"/>
                <w:szCs w:val="16"/>
                <w:lang w:val="es-CR" w:eastAsia="es-CR"/>
              </w:rPr>
              <w:t>/1 Esta información se obtiene del archivo Excel remitido por la DGPN, de la hoja “Liquidación”.</w:t>
            </w:r>
          </w:p>
        </w:tc>
      </w:tr>
      <w:tr w:rsidR="00261868" w:rsidRPr="00261868" w14:paraId="41E14F0E" w14:textId="77777777" w:rsidTr="00140BF3">
        <w:trPr>
          <w:trHeight w:val="300"/>
        </w:trPr>
        <w:tc>
          <w:tcPr>
            <w:tcW w:w="9349" w:type="dxa"/>
            <w:gridSpan w:val="9"/>
            <w:tcBorders>
              <w:top w:val="nil"/>
              <w:left w:val="nil"/>
              <w:bottom w:val="nil"/>
              <w:right w:val="nil"/>
            </w:tcBorders>
            <w:shd w:val="clear" w:color="auto" w:fill="auto"/>
            <w:noWrap/>
            <w:vAlign w:val="center"/>
            <w:hideMark/>
          </w:tcPr>
          <w:p w14:paraId="6B2F94F2" w14:textId="77777777" w:rsidR="00B919D4" w:rsidRDefault="00261868" w:rsidP="003C6623">
            <w:pPr>
              <w:spacing w:after="0" w:line="240" w:lineRule="auto"/>
              <w:rPr>
                <w:rFonts w:ascii="Arial" w:eastAsia="Times New Roman" w:hAnsi="Arial" w:cs="Arial"/>
                <w:color w:val="000000"/>
                <w:sz w:val="16"/>
                <w:szCs w:val="16"/>
                <w:lang w:val="es-CR" w:eastAsia="es-CR"/>
              </w:rPr>
            </w:pPr>
            <w:r w:rsidRPr="00261868">
              <w:rPr>
                <w:rFonts w:ascii="Arial" w:eastAsia="Times New Roman" w:hAnsi="Arial" w:cs="Arial"/>
                <w:color w:val="000000"/>
                <w:sz w:val="16"/>
                <w:szCs w:val="16"/>
                <w:lang w:val="es-CR" w:eastAsia="es-CR"/>
              </w:rPr>
              <w:t>/2 Se refiere a acciones que implementará el centro gestor en 2022 para subsanar los problemas de ejecución que se</w:t>
            </w:r>
          </w:p>
          <w:p w14:paraId="345BD403" w14:textId="53792FE7" w:rsidR="00261868" w:rsidRPr="00261868" w:rsidRDefault="00261868" w:rsidP="003C6623">
            <w:pPr>
              <w:spacing w:after="0" w:line="240" w:lineRule="auto"/>
              <w:rPr>
                <w:rFonts w:ascii="Arial" w:eastAsia="Times New Roman" w:hAnsi="Arial" w:cs="Arial"/>
                <w:color w:val="000000"/>
                <w:sz w:val="16"/>
                <w:szCs w:val="16"/>
                <w:lang w:val="es-CR" w:eastAsia="es-CR"/>
              </w:rPr>
            </w:pPr>
            <w:r w:rsidRPr="00261868">
              <w:rPr>
                <w:rFonts w:ascii="Arial" w:eastAsia="Times New Roman" w:hAnsi="Arial" w:cs="Arial"/>
                <w:color w:val="000000"/>
                <w:sz w:val="16"/>
                <w:szCs w:val="16"/>
                <w:lang w:val="es-CR" w:eastAsia="es-CR"/>
              </w:rPr>
              <w:t xml:space="preserve"> presentaron al 31/12/2021.</w:t>
            </w:r>
          </w:p>
        </w:tc>
      </w:tr>
      <w:tr w:rsidR="00261868" w:rsidRPr="00261868" w14:paraId="2B2E767A" w14:textId="77777777" w:rsidTr="00140BF3">
        <w:trPr>
          <w:trHeight w:val="300"/>
        </w:trPr>
        <w:tc>
          <w:tcPr>
            <w:tcW w:w="9349" w:type="dxa"/>
            <w:gridSpan w:val="9"/>
            <w:tcBorders>
              <w:top w:val="nil"/>
              <w:left w:val="nil"/>
              <w:bottom w:val="nil"/>
              <w:right w:val="nil"/>
            </w:tcBorders>
            <w:shd w:val="clear" w:color="auto" w:fill="auto"/>
            <w:noWrap/>
            <w:vAlign w:val="center"/>
            <w:hideMark/>
          </w:tcPr>
          <w:p w14:paraId="7BA2AF5D" w14:textId="77777777" w:rsidR="00261868" w:rsidRPr="00261868" w:rsidRDefault="00261868" w:rsidP="003C6623">
            <w:pPr>
              <w:spacing w:after="0" w:line="240" w:lineRule="auto"/>
              <w:rPr>
                <w:rFonts w:ascii="Arial" w:eastAsia="Times New Roman" w:hAnsi="Arial" w:cs="Arial"/>
                <w:color w:val="000000"/>
                <w:sz w:val="16"/>
                <w:szCs w:val="16"/>
                <w:lang w:val="es-CR" w:eastAsia="es-CR"/>
              </w:rPr>
            </w:pPr>
            <w:r w:rsidRPr="00261868">
              <w:rPr>
                <w:rFonts w:ascii="Arial" w:eastAsia="Times New Roman" w:hAnsi="Arial" w:cs="Arial"/>
                <w:color w:val="000000"/>
                <w:sz w:val="16"/>
                <w:szCs w:val="16"/>
                <w:lang w:val="es-CR" w:eastAsia="es-CR"/>
              </w:rPr>
              <w:t>/3 Se refiere a la fecha en que las acciones correctivas empezarán a ser implementadas por el centro gestor.</w:t>
            </w:r>
          </w:p>
        </w:tc>
      </w:tr>
    </w:tbl>
    <w:p w14:paraId="35F53E6B" w14:textId="77777777" w:rsidR="00DE5EE9" w:rsidRPr="003C6623" w:rsidRDefault="00DE5EE9" w:rsidP="003C6623">
      <w:pPr>
        <w:keepNext/>
        <w:keepLines/>
        <w:spacing w:before="360" w:after="0"/>
        <w:jc w:val="both"/>
        <w:outlineLvl w:val="1"/>
        <w:rPr>
          <w:rFonts w:ascii="Arial" w:eastAsiaTheme="majorEastAsia" w:hAnsi="Arial" w:cs="Arial"/>
          <w:b/>
          <w:bCs/>
          <w:iCs/>
          <w:vanish/>
          <w:color w:val="002060"/>
          <w:spacing w:val="15"/>
          <w:szCs w:val="24"/>
        </w:rPr>
      </w:pPr>
      <w:bookmarkStart w:id="14" w:name="_Toc88750323"/>
      <w:bookmarkStart w:id="15" w:name="_Toc88750482"/>
      <w:bookmarkStart w:id="16" w:name="_Toc88819976"/>
      <w:bookmarkStart w:id="17" w:name="_Toc92894994"/>
      <w:bookmarkStart w:id="18" w:name="_Toc92957810"/>
      <w:bookmarkStart w:id="19" w:name="_Toc92958047"/>
      <w:bookmarkStart w:id="20" w:name="_Toc93058492"/>
      <w:bookmarkStart w:id="21" w:name="_Toc93062424"/>
      <w:bookmarkStart w:id="22" w:name="_Toc93062845"/>
      <w:bookmarkStart w:id="23" w:name="_Toc93065760"/>
      <w:bookmarkStart w:id="24" w:name="_Toc93065802"/>
      <w:bookmarkStart w:id="25" w:name="_Toc93673236"/>
      <w:bookmarkStart w:id="26" w:name="_Toc88750324"/>
      <w:bookmarkStart w:id="27" w:name="_Toc88750483"/>
      <w:bookmarkStart w:id="28" w:name="_Toc88819977"/>
      <w:bookmarkStart w:id="29" w:name="_Toc92894995"/>
      <w:bookmarkStart w:id="30" w:name="_Toc92957811"/>
      <w:bookmarkStart w:id="31" w:name="_Toc92958048"/>
      <w:bookmarkStart w:id="32" w:name="_Toc93058493"/>
      <w:bookmarkStart w:id="33" w:name="_Toc93062425"/>
      <w:bookmarkStart w:id="34" w:name="_Toc93062846"/>
      <w:bookmarkStart w:id="35" w:name="_Toc93065761"/>
      <w:bookmarkStart w:id="36" w:name="_Toc93065803"/>
      <w:bookmarkStart w:id="37" w:name="_Toc93673237"/>
      <w:bookmarkStart w:id="38" w:name="_Toc88750325"/>
      <w:bookmarkStart w:id="39" w:name="_Toc88750484"/>
      <w:bookmarkStart w:id="40" w:name="_Toc88819978"/>
      <w:bookmarkStart w:id="41" w:name="_Toc92894996"/>
      <w:bookmarkStart w:id="42" w:name="_Toc92957812"/>
      <w:bookmarkStart w:id="43" w:name="_Toc92958049"/>
      <w:bookmarkStart w:id="44" w:name="_Toc93058494"/>
      <w:bookmarkStart w:id="45" w:name="_Toc93062426"/>
      <w:bookmarkStart w:id="46" w:name="_Toc93062847"/>
      <w:bookmarkStart w:id="47" w:name="_Toc93065762"/>
      <w:bookmarkStart w:id="48" w:name="_Toc93065804"/>
      <w:bookmarkStart w:id="49" w:name="_Toc93673238"/>
      <w:bookmarkStart w:id="50" w:name="_Toc88750326"/>
      <w:bookmarkStart w:id="51" w:name="_Toc88750485"/>
      <w:bookmarkStart w:id="52" w:name="_Toc88819979"/>
      <w:bookmarkStart w:id="53" w:name="_Toc92894997"/>
      <w:bookmarkStart w:id="54" w:name="_Toc92957813"/>
      <w:bookmarkStart w:id="55" w:name="_Toc92958050"/>
      <w:bookmarkStart w:id="56" w:name="_Toc93058495"/>
      <w:bookmarkStart w:id="57" w:name="_Toc93062427"/>
      <w:bookmarkStart w:id="58" w:name="_Toc93062848"/>
      <w:bookmarkStart w:id="59" w:name="_Toc93065763"/>
      <w:bookmarkStart w:id="60" w:name="_Toc93065805"/>
      <w:bookmarkStart w:id="61" w:name="_Toc93673239"/>
      <w:bookmarkEnd w:id="4"/>
      <w:bookmarkEnd w:id="5"/>
      <w:bookmarkEnd w:id="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59BC0573" w14:textId="5DE5A3BE" w:rsidR="008016E3" w:rsidRPr="000A7B2C" w:rsidRDefault="008016E3" w:rsidP="00B85A18">
      <w:pPr>
        <w:pStyle w:val="Ttulo2"/>
        <w:numPr>
          <w:ilvl w:val="0"/>
          <w:numId w:val="15"/>
        </w:numPr>
        <w:jc w:val="center"/>
        <w:rPr>
          <w:rStyle w:val="Ttulodellibro"/>
          <w:rFonts w:ascii="Arial" w:hAnsi="Arial" w:cs="Arial"/>
          <w:bCs w:val="0"/>
          <w:color w:val="002060"/>
        </w:rPr>
      </w:pPr>
      <w:bookmarkStart w:id="62" w:name="_Toc93673240"/>
      <w:bookmarkStart w:id="63" w:name="_Toc25758878"/>
      <w:bookmarkStart w:id="64" w:name="_Toc87963774"/>
      <w:bookmarkStart w:id="65" w:name="_Toc88819975"/>
      <w:r w:rsidRPr="00D27DB1">
        <w:rPr>
          <w:rStyle w:val="Ttulodellibro"/>
          <w:rFonts w:ascii="Arial" w:hAnsi="Arial" w:cs="Arial"/>
          <w:bCs w:val="0"/>
          <w:color w:val="002060"/>
        </w:rPr>
        <w:t>A</w:t>
      </w:r>
      <w:r>
        <w:rPr>
          <w:rStyle w:val="Ttulodellibro"/>
          <w:rFonts w:ascii="Arial" w:hAnsi="Arial" w:cs="Arial"/>
          <w:bCs w:val="0"/>
          <w:color w:val="002060"/>
        </w:rPr>
        <w:t xml:space="preserve">partado de </w:t>
      </w:r>
      <w:r w:rsidR="00103798">
        <w:rPr>
          <w:rStyle w:val="Ttulodellibro"/>
          <w:rFonts w:ascii="Arial" w:hAnsi="Arial" w:cs="Arial"/>
          <w:bCs w:val="0"/>
          <w:color w:val="002060"/>
        </w:rPr>
        <w:t>g</w:t>
      </w:r>
      <w:r>
        <w:rPr>
          <w:rStyle w:val="Ttulodellibro"/>
          <w:rFonts w:ascii="Arial" w:hAnsi="Arial" w:cs="Arial"/>
          <w:bCs w:val="0"/>
          <w:color w:val="002060"/>
        </w:rPr>
        <w:t xml:space="preserve">estión: </w:t>
      </w:r>
      <w:r w:rsidR="00103798">
        <w:rPr>
          <w:rStyle w:val="Ttulodellibro"/>
          <w:rFonts w:ascii="Arial" w:hAnsi="Arial" w:cs="Arial"/>
          <w:bCs w:val="0"/>
          <w:color w:val="002060"/>
        </w:rPr>
        <w:t>c</w:t>
      </w:r>
      <w:r>
        <w:rPr>
          <w:rStyle w:val="Ttulodellibro"/>
          <w:rFonts w:ascii="Arial" w:hAnsi="Arial" w:cs="Arial"/>
          <w:bCs w:val="0"/>
          <w:color w:val="002060"/>
        </w:rPr>
        <w:t xml:space="preserve">entro </w:t>
      </w:r>
      <w:r w:rsidR="00103798">
        <w:rPr>
          <w:rStyle w:val="Ttulodellibro"/>
          <w:rFonts w:ascii="Arial" w:hAnsi="Arial" w:cs="Arial"/>
          <w:bCs w:val="0"/>
          <w:color w:val="002060"/>
        </w:rPr>
        <w:t>g</w:t>
      </w:r>
      <w:r>
        <w:rPr>
          <w:rStyle w:val="Ttulodellibro"/>
          <w:rFonts w:ascii="Arial" w:hAnsi="Arial" w:cs="Arial"/>
          <w:bCs w:val="0"/>
          <w:color w:val="002060"/>
        </w:rPr>
        <w:t>estor</w:t>
      </w:r>
      <w:bookmarkEnd w:id="62"/>
    </w:p>
    <w:p w14:paraId="7EAAB6F4" w14:textId="22B5C252" w:rsidR="005F2519" w:rsidRPr="00F56A61" w:rsidRDefault="005F2519" w:rsidP="00332459">
      <w:pPr>
        <w:pStyle w:val="Ttulo2"/>
        <w:numPr>
          <w:ilvl w:val="1"/>
          <w:numId w:val="15"/>
        </w:numPr>
        <w:jc w:val="both"/>
        <w:rPr>
          <w:rFonts w:ascii="Arial" w:hAnsi="Arial" w:cs="Arial"/>
          <w:iCs/>
          <w:smallCaps w:val="0"/>
          <w:color w:val="002060"/>
          <w:spacing w:val="15"/>
          <w:sz w:val="22"/>
          <w:szCs w:val="24"/>
        </w:rPr>
      </w:pPr>
      <w:bookmarkStart w:id="66" w:name="_Toc93673241"/>
      <w:r w:rsidRPr="00F56A61">
        <w:rPr>
          <w:rFonts w:ascii="Arial" w:hAnsi="Arial" w:cs="Arial"/>
          <w:iCs/>
          <w:smallCaps w:val="0"/>
          <w:color w:val="002060"/>
          <w:spacing w:val="15"/>
          <w:sz w:val="22"/>
          <w:szCs w:val="24"/>
        </w:rPr>
        <w:t>Análisis de los logros obtenidos</w:t>
      </w:r>
      <w:bookmarkEnd w:id="63"/>
      <w:bookmarkEnd w:id="64"/>
      <w:bookmarkEnd w:id="65"/>
      <w:bookmarkEnd w:id="66"/>
    </w:p>
    <w:p w14:paraId="42955E36" w14:textId="77777777" w:rsidR="007C6666" w:rsidRDefault="007C6666" w:rsidP="00546DF1">
      <w:pPr>
        <w:spacing w:line="360" w:lineRule="auto"/>
        <w:jc w:val="both"/>
        <w:rPr>
          <w:rFonts w:ascii="Arial" w:hAnsi="Arial" w:cs="Arial"/>
          <w:sz w:val="20"/>
          <w:szCs w:val="20"/>
          <w:u w:val="single"/>
        </w:rPr>
      </w:pPr>
    </w:p>
    <w:p w14:paraId="29AAA206" w14:textId="49328635" w:rsidR="00E60370" w:rsidRDefault="003320B8" w:rsidP="00546DF1">
      <w:pPr>
        <w:spacing w:line="360" w:lineRule="auto"/>
        <w:jc w:val="both"/>
        <w:rPr>
          <w:rFonts w:ascii="Arial" w:hAnsi="Arial" w:cs="Arial"/>
          <w:bCs/>
          <w:sz w:val="20"/>
          <w:szCs w:val="20"/>
          <w:lang w:val="es-CR"/>
        </w:rPr>
      </w:pPr>
      <w:r w:rsidRPr="00737D69">
        <w:rPr>
          <w:rFonts w:ascii="Arial" w:hAnsi="Arial" w:cs="Arial"/>
          <w:bCs/>
          <w:sz w:val="20"/>
          <w:szCs w:val="20"/>
          <w:lang w:val="es-CR"/>
        </w:rPr>
        <w:t xml:space="preserve">La </w:t>
      </w:r>
      <w:r w:rsidR="00ED6795">
        <w:rPr>
          <w:rFonts w:ascii="Arial" w:hAnsi="Arial" w:cs="Arial"/>
          <w:bCs/>
          <w:sz w:val="20"/>
          <w:szCs w:val="20"/>
          <w:lang w:val="es-CR"/>
        </w:rPr>
        <w:t>elaboración</w:t>
      </w:r>
      <w:r w:rsidRPr="00737D69">
        <w:rPr>
          <w:rFonts w:ascii="Arial" w:hAnsi="Arial" w:cs="Arial"/>
          <w:bCs/>
          <w:sz w:val="20"/>
          <w:szCs w:val="20"/>
          <w:lang w:val="es-CR"/>
        </w:rPr>
        <w:t xml:space="preserve"> </w:t>
      </w:r>
      <w:r w:rsidR="00ED6795">
        <w:rPr>
          <w:rFonts w:ascii="Arial" w:hAnsi="Arial" w:cs="Arial"/>
          <w:bCs/>
          <w:sz w:val="20"/>
          <w:szCs w:val="20"/>
          <w:lang w:val="es-CR"/>
        </w:rPr>
        <w:t xml:space="preserve">de estudios sobre el consumo de SPA, la generación de </w:t>
      </w:r>
      <w:r w:rsidR="00737D69" w:rsidRPr="00737D69">
        <w:rPr>
          <w:rFonts w:ascii="Arial" w:hAnsi="Arial" w:cs="Arial"/>
          <w:bCs/>
          <w:sz w:val="20"/>
          <w:szCs w:val="20"/>
          <w:lang w:val="es-CR"/>
        </w:rPr>
        <w:t>e</w:t>
      </w:r>
      <w:r w:rsidR="00737D69" w:rsidRPr="00737D69">
        <w:rPr>
          <w:rFonts w:ascii="Arial" w:hAnsi="Arial" w:cs="Arial"/>
          <w:bCs/>
          <w:sz w:val="20"/>
          <w:szCs w:val="20"/>
        </w:rPr>
        <w:t>videncia científica</w:t>
      </w:r>
      <w:r w:rsidR="00737D69">
        <w:rPr>
          <w:rFonts w:ascii="Arial" w:hAnsi="Arial" w:cs="Arial"/>
          <w:bCs/>
          <w:sz w:val="20"/>
          <w:szCs w:val="20"/>
        </w:rPr>
        <w:t xml:space="preserve">, así como la labor en materia de </w:t>
      </w:r>
      <w:r w:rsidR="00CB643F">
        <w:rPr>
          <w:rFonts w:ascii="Arial" w:hAnsi="Arial" w:cs="Arial"/>
          <w:bCs/>
          <w:sz w:val="20"/>
          <w:szCs w:val="20"/>
        </w:rPr>
        <w:t>i</w:t>
      </w:r>
      <w:r w:rsidR="00737D69" w:rsidRPr="003320B8">
        <w:rPr>
          <w:rFonts w:ascii="Arial" w:hAnsi="Arial" w:cs="Arial"/>
          <w:bCs/>
          <w:sz w:val="20"/>
          <w:szCs w:val="20"/>
        </w:rPr>
        <w:t>nteligencia financiera y policial</w:t>
      </w:r>
      <w:r w:rsidR="00737D69">
        <w:rPr>
          <w:rFonts w:ascii="Arial" w:hAnsi="Arial" w:cs="Arial"/>
          <w:bCs/>
          <w:sz w:val="20"/>
          <w:szCs w:val="20"/>
        </w:rPr>
        <w:t xml:space="preserve"> realizada durante el período coadyuvó</w:t>
      </w:r>
      <w:r w:rsidR="00182DF1">
        <w:rPr>
          <w:rFonts w:ascii="Arial" w:hAnsi="Arial" w:cs="Arial"/>
          <w:bCs/>
          <w:sz w:val="20"/>
          <w:szCs w:val="20"/>
        </w:rPr>
        <w:t xml:space="preserve"> a</w:t>
      </w:r>
      <w:r w:rsidR="00737D69">
        <w:rPr>
          <w:rFonts w:ascii="Arial" w:hAnsi="Arial" w:cs="Arial"/>
          <w:bCs/>
          <w:sz w:val="20"/>
          <w:szCs w:val="20"/>
        </w:rPr>
        <w:t xml:space="preserve">: a) </w:t>
      </w:r>
      <w:r w:rsidR="00182DF1">
        <w:rPr>
          <w:rFonts w:ascii="Arial" w:hAnsi="Arial" w:cs="Arial"/>
          <w:bCs/>
          <w:sz w:val="20"/>
          <w:szCs w:val="20"/>
        </w:rPr>
        <w:t>e</w:t>
      </w:r>
      <w:r w:rsidR="00737D69">
        <w:rPr>
          <w:rFonts w:ascii="Arial" w:hAnsi="Arial" w:cs="Arial"/>
          <w:bCs/>
          <w:sz w:val="20"/>
          <w:szCs w:val="20"/>
        </w:rPr>
        <w:t>l c</w:t>
      </w:r>
      <w:r w:rsidR="00737D69" w:rsidRPr="003320B8">
        <w:rPr>
          <w:rFonts w:ascii="Arial" w:hAnsi="Arial" w:cs="Arial"/>
          <w:bCs/>
          <w:sz w:val="20"/>
          <w:szCs w:val="20"/>
        </w:rPr>
        <w:t>ontrol y fiscalización de precursores y químicos esenciales</w:t>
      </w:r>
      <w:r w:rsidR="00737D69">
        <w:rPr>
          <w:rFonts w:ascii="Arial" w:hAnsi="Arial" w:cs="Arial"/>
          <w:bCs/>
          <w:sz w:val="20"/>
          <w:szCs w:val="20"/>
        </w:rPr>
        <w:t xml:space="preserve"> empleados en la fabricación de drogas lícitas e ilícitas; b) </w:t>
      </w:r>
      <w:r w:rsidR="00182DF1">
        <w:rPr>
          <w:rFonts w:ascii="Arial" w:hAnsi="Arial" w:cs="Arial"/>
          <w:bCs/>
          <w:sz w:val="20"/>
          <w:szCs w:val="20"/>
        </w:rPr>
        <w:t>e</w:t>
      </w:r>
      <w:r w:rsidR="00737D69">
        <w:rPr>
          <w:rFonts w:ascii="Arial" w:hAnsi="Arial" w:cs="Arial"/>
          <w:bCs/>
          <w:sz w:val="20"/>
          <w:szCs w:val="20"/>
        </w:rPr>
        <w:t xml:space="preserve">l desarrollo de investigaciones policiales y judiciales; c) la generación de </w:t>
      </w:r>
      <w:r w:rsidR="0099686D" w:rsidRPr="00737D69">
        <w:rPr>
          <w:rFonts w:ascii="Arial" w:hAnsi="Arial" w:cs="Arial"/>
          <w:bCs/>
          <w:sz w:val="20"/>
          <w:szCs w:val="20"/>
        </w:rPr>
        <w:t>conocimiento estratégico para</w:t>
      </w:r>
      <w:r w:rsidR="00737D69">
        <w:rPr>
          <w:rFonts w:ascii="Arial" w:hAnsi="Arial" w:cs="Arial"/>
          <w:bCs/>
          <w:sz w:val="20"/>
          <w:szCs w:val="20"/>
        </w:rPr>
        <w:t xml:space="preserve"> que los actores formuladores y operadores de las </w:t>
      </w:r>
      <w:r w:rsidR="00737D69" w:rsidRPr="00737D69">
        <w:rPr>
          <w:rFonts w:ascii="Arial" w:hAnsi="Arial" w:cs="Arial"/>
          <w:bCs/>
          <w:sz w:val="20"/>
          <w:szCs w:val="20"/>
        </w:rPr>
        <w:t>polític</w:t>
      </w:r>
      <w:r w:rsidR="00737D69">
        <w:rPr>
          <w:rFonts w:ascii="Arial" w:hAnsi="Arial" w:cs="Arial"/>
          <w:bCs/>
          <w:sz w:val="20"/>
          <w:szCs w:val="20"/>
        </w:rPr>
        <w:t>a</w:t>
      </w:r>
      <w:r w:rsidR="00737D69" w:rsidRPr="00737D69">
        <w:rPr>
          <w:rFonts w:ascii="Arial" w:hAnsi="Arial" w:cs="Arial"/>
          <w:bCs/>
          <w:sz w:val="20"/>
          <w:szCs w:val="20"/>
        </w:rPr>
        <w:t>s</w:t>
      </w:r>
      <w:r w:rsidR="00737D69">
        <w:rPr>
          <w:rFonts w:ascii="Arial" w:hAnsi="Arial" w:cs="Arial"/>
          <w:bCs/>
          <w:sz w:val="20"/>
          <w:szCs w:val="20"/>
        </w:rPr>
        <w:t xml:space="preserve"> nacionales sobre droga</w:t>
      </w:r>
      <w:r w:rsidR="00182DF1">
        <w:rPr>
          <w:rFonts w:ascii="Arial" w:hAnsi="Arial" w:cs="Arial"/>
          <w:bCs/>
          <w:sz w:val="20"/>
          <w:szCs w:val="20"/>
        </w:rPr>
        <w:t>s</w:t>
      </w:r>
      <w:r w:rsidR="00737D69">
        <w:rPr>
          <w:rFonts w:ascii="Arial" w:hAnsi="Arial" w:cs="Arial"/>
          <w:bCs/>
          <w:sz w:val="20"/>
          <w:szCs w:val="20"/>
        </w:rPr>
        <w:t xml:space="preserve">, constataran su vigencia o replantearan la hoja de ruta país; y d) </w:t>
      </w:r>
      <w:r w:rsidR="00546DF1">
        <w:rPr>
          <w:rFonts w:ascii="Arial" w:hAnsi="Arial" w:cs="Arial"/>
          <w:bCs/>
          <w:sz w:val="20"/>
          <w:szCs w:val="20"/>
        </w:rPr>
        <w:t>una mayor asertividad por parte del ICD en la coordinación de políticas, programas y proyectos dirigidos a</w:t>
      </w:r>
      <w:r w:rsidR="00737D69" w:rsidRPr="00737D69">
        <w:rPr>
          <w:rFonts w:ascii="Arial" w:hAnsi="Arial" w:cs="Arial"/>
          <w:bCs/>
          <w:sz w:val="20"/>
          <w:szCs w:val="20"/>
        </w:rPr>
        <w:t xml:space="preserve"> la atención</w:t>
      </w:r>
      <w:r w:rsidR="0099686D" w:rsidRPr="00737D69">
        <w:rPr>
          <w:rFonts w:ascii="Arial" w:hAnsi="Arial" w:cs="Arial"/>
          <w:bCs/>
          <w:sz w:val="20"/>
          <w:szCs w:val="20"/>
        </w:rPr>
        <w:t xml:space="preserve"> </w:t>
      </w:r>
      <w:r w:rsidR="00E60370" w:rsidRPr="00E60370">
        <w:rPr>
          <w:rFonts w:ascii="Arial" w:hAnsi="Arial" w:cs="Arial"/>
          <w:bCs/>
          <w:sz w:val="20"/>
          <w:szCs w:val="20"/>
          <w:lang w:val="es-CR"/>
        </w:rPr>
        <w:t>del consumo de SPA y la prevención, contención y represión del tráfico ilícito de drogas y actividades conexas</w:t>
      </w:r>
      <w:r w:rsidR="00737D69" w:rsidRPr="00737D69">
        <w:rPr>
          <w:rFonts w:ascii="Arial" w:hAnsi="Arial" w:cs="Arial"/>
          <w:bCs/>
          <w:sz w:val="20"/>
          <w:szCs w:val="20"/>
          <w:lang w:val="es-CR"/>
        </w:rPr>
        <w:t>.</w:t>
      </w:r>
    </w:p>
    <w:p w14:paraId="3F6FFB2B" w14:textId="771DFC66" w:rsidR="00E60370" w:rsidRDefault="00546DF1" w:rsidP="00546DF1">
      <w:pPr>
        <w:spacing w:line="360" w:lineRule="auto"/>
        <w:jc w:val="both"/>
        <w:rPr>
          <w:rFonts w:ascii="Arial" w:hAnsi="Arial" w:cs="Arial"/>
          <w:bCs/>
          <w:sz w:val="20"/>
          <w:szCs w:val="20"/>
        </w:rPr>
      </w:pPr>
      <w:r>
        <w:rPr>
          <w:rFonts w:ascii="Arial" w:hAnsi="Arial" w:cs="Arial"/>
          <w:bCs/>
          <w:sz w:val="20"/>
          <w:szCs w:val="20"/>
          <w:lang w:val="es-CR"/>
        </w:rPr>
        <w:t xml:space="preserve">Los recursos generados producto de la </w:t>
      </w:r>
      <w:r w:rsidR="0090684C">
        <w:rPr>
          <w:rFonts w:ascii="Arial" w:hAnsi="Arial" w:cs="Arial"/>
          <w:bCs/>
          <w:sz w:val="20"/>
          <w:szCs w:val="20"/>
          <w:lang w:val="es-CR"/>
        </w:rPr>
        <w:t xml:space="preserve">disposición </w:t>
      </w:r>
      <w:r w:rsidR="003320B8" w:rsidRPr="003320B8">
        <w:rPr>
          <w:rFonts w:ascii="Arial" w:hAnsi="Arial" w:cs="Arial"/>
          <w:bCs/>
          <w:sz w:val="20"/>
          <w:szCs w:val="20"/>
        </w:rPr>
        <w:t>de bienes comisados y decomisados</w:t>
      </w:r>
      <w:r>
        <w:rPr>
          <w:rFonts w:ascii="Arial" w:hAnsi="Arial" w:cs="Arial"/>
          <w:bCs/>
          <w:sz w:val="20"/>
          <w:szCs w:val="20"/>
        </w:rPr>
        <w:t xml:space="preserve"> </w:t>
      </w:r>
      <w:r w:rsidR="0090684C">
        <w:rPr>
          <w:rFonts w:ascii="Arial" w:hAnsi="Arial" w:cs="Arial"/>
          <w:bCs/>
          <w:sz w:val="20"/>
          <w:szCs w:val="20"/>
        </w:rPr>
        <w:t>permitieron</w:t>
      </w:r>
      <w:r>
        <w:rPr>
          <w:rFonts w:ascii="Arial" w:hAnsi="Arial" w:cs="Arial"/>
          <w:bCs/>
          <w:sz w:val="20"/>
          <w:szCs w:val="20"/>
        </w:rPr>
        <w:t xml:space="preserve"> invertir en la labor </w:t>
      </w:r>
      <w:r w:rsidR="00FB67CB">
        <w:rPr>
          <w:rFonts w:ascii="Arial" w:hAnsi="Arial" w:cs="Arial"/>
          <w:bCs/>
          <w:sz w:val="20"/>
          <w:szCs w:val="20"/>
        </w:rPr>
        <w:t xml:space="preserve">que </w:t>
      </w:r>
      <w:r>
        <w:rPr>
          <w:rFonts w:ascii="Arial" w:hAnsi="Arial" w:cs="Arial"/>
          <w:bCs/>
          <w:sz w:val="20"/>
          <w:szCs w:val="20"/>
        </w:rPr>
        <w:t xml:space="preserve">tanto el Poder Ejecutivo como </w:t>
      </w:r>
      <w:r w:rsidR="00944B43">
        <w:rPr>
          <w:rFonts w:ascii="Arial" w:hAnsi="Arial" w:cs="Arial"/>
          <w:bCs/>
          <w:sz w:val="20"/>
          <w:szCs w:val="20"/>
        </w:rPr>
        <w:t xml:space="preserve">el </w:t>
      </w:r>
      <w:r>
        <w:rPr>
          <w:rFonts w:ascii="Arial" w:hAnsi="Arial" w:cs="Arial"/>
          <w:bCs/>
          <w:sz w:val="20"/>
          <w:szCs w:val="20"/>
        </w:rPr>
        <w:t>Judicial efectu</w:t>
      </w:r>
      <w:r w:rsidR="00FB67CB">
        <w:rPr>
          <w:rFonts w:ascii="Arial" w:hAnsi="Arial" w:cs="Arial"/>
          <w:bCs/>
          <w:sz w:val="20"/>
          <w:szCs w:val="20"/>
        </w:rPr>
        <w:t>aron</w:t>
      </w:r>
      <w:r>
        <w:rPr>
          <w:rFonts w:ascii="Arial" w:hAnsi="Arial" w:cs="Arial"/>
          <w:bCs/>
          <w:sz w:val="20"/>
          <w:szCs w:val="20"/>
        </w:rPr>
        <w:t xml:space="preserve"> en respuesta a la </w:t>
      </w:r>
      <w:r w:rsidR="00FB67CB">
        <w:rPr>
          <w:rFonts w:ascii="Arial" w:hAnsi="Arial" w:cs="Arial"/>
          <w:bCs/>
          <w:sz w:val="20"/>
          <w:szCs w:val="20"/>
        </w:rPr>
        <w:t>L</w:t>
      </w:r>
      <w:r>
        <w:rPr>
          <w:rFonts w:ascii="Arial" w:hAnsi="Arial" w:cs="Arial"/>
          <w:bCs/>
          <w:sz w:val="20"/>
          <w:szCs w:val="20"/>
        </w:rPr>
        <w:t>ey N°8204 y conexas</w:t>
      </w:r>
      <w:r w:rsidR="00C44814">
        <w:rPr>
          <w:rFonts w:ascii="Arial" w:hAnsi="Arial" w:cs="Arial"/>
          <w:bCs/>
          <w:sz w:val="20"/>
          <w:szCs w:val="20"/>
        </w:rPr>
        <w:t>. S</w:t>
      </w:r>
      <w:r>
        <w:rPr>
          <w:rFonts w:ascii="Arial" w:hAnsi="Arial" w:cs="Arial"/>
          <w:bCs/>
          <w:sz w:val="20"/>
          <w:szCs w:val="20"/>
        </w:rPr>
        <w:t xml:space="preserve">e recuerda </w:t>
      </w:r>
      <w:r w:rsidR="008016E3">
        <w:rPr>
          <w:rFonts w:ascii="Arial" w:hAnsi="Arial" w:cs="Arial"/>
          <w:bCs/>
          <w:sz w:val="20"/>
          <w:szCs w:val="20"/>
        </w:rPr>
        <w:t>que,</w:t>
      </w:r>
      <w:r>
        <w:rPr>
          <w:rFonts w:ascii="Arial" w:hAnsi="Arial" w:cs="Arial"/>
          <w:bCs/>
          <w:sz w:val="20"/>
          <w:szCs w:val="20"/>
        </w:rPr>
        <w:t xml:space="preserve"> por las limitaciones presupuestarias del aparato estatal</w:t>
      </w:r>
      <w:r w:rsidR="00C44814">
        <w:rPr>
          <w:rFonts w:ascii="Arial" w:hAnsi="Arial" w:cs="Arial"/>
          <w:bCs/>
          <w:sz w:val="20"/>
          <w:szCs w:val="20"/>
        </w:rPr>
        <w:t>,</w:t>
      </w:r>
      <w:r>
        <w:rPr>
          <w:rFonts w:ascii="Arial" w:hAnsi="Arial" w:cs="Arial"/>
          <w:bCs/>
          <w:sz w:val="20"/>
          <w:szCs w:val="20"/>
        </w:rPr>
        <w:t xml:space="preserve"> esta se constituye en la principal fuente de financiamiento de las intervenciones formuladas para abordar el fenómeno de las drogas de manera integral.</w:t>
      </w:r>
    </w:p>
    <w:p w14:paraId="6FE9D005" w14:textId="4385D4BB" w:rsidR="005F2519" w:rsidRPr="007C6666" w:rsidRDefault="00546DF1" w:rsidP="00546DF1">
      <w:pPr>
        <w:spacing w:line="360" w:lineRule="auto"/>
        <w:jc w:val="both"/>
        <w:rPr>
          <w:rFonts w:ascii="Arial" w:hAnsi="Arial" w:cs="Arial"/>
          <w:bCs/>
          <w:sz w:val="20"/>
          <w:szCs w:val="20"/>
        </w:rPr>
      </w:pPr>
      <w:r w:rsidRPr="007C6666">
        <w:rPr>
          <w:rFonts w:ascii="Arial" w:hAnsi="Arial" w:cs="Arial"/>
          <w:bCs/>
          <w:sz w:val="20"/>
          <w:szCs w:val="20"/>
        </w:rPr>
        <w:lastRenderedPageBreak/>
        <w:t xml:space="preserve">Una de las prioridades formalizadas tanto en el </w:t>
      </w:r>
      <w:r w:rsidR="005B02A2" w:rsidRPr="007C6666">
        <w:rPr>
          <w:rFonts w:ascii="Arial" w:hAnsi="Arial" w:cs="Arial"/>
          <w:bCs/>
          <w:sz w:val="20"/>
          <w:szCs w:val="20"/>
        </w:rPr>
        <w:t>Plan Nacional de Desarrollo e Inversión Pública (</w:t>
      </w:r>
      <w:r w:rsidR="005F2519" w:rsidRPr="007C6666">
        <w:rPr>
          <w:rFonts w:ascii="Arial" w:hAnsi="Arial" w:cs="Arial"/>
          <w:bCs/>
          <w:sz w:val="20"/>
          <w:szCs w:val="20"/>
        </w:rPr>
        <w:t>PNDIP</w:t>
      </w:r>
      <w:r w:rsidR="005B02A2" w:rsidRPr="007C6666">
        <w:rPr>
          <w:rFonts w:ascii="Arial" w:hAnsi="Arial" w:cs="Arial"/>
          <w:bCs/>
          <w:sz w:val="20"/>
          <w:szCs w:val="20"/>
        </w:rPr>
        <w:t>)</w:t>
      </w:r>
      <w:r w:rsidR="005F2519" w:rsidRPr="007C6666">
        <w:rPr>
          <w:rFonts w:ascii="Arial" w:hAnsi="Arial" w:cs="Arial"/>
          <w:bCs/>
          <w:sz w:val="20"/>
          <w:szCs w:val="20"/>
        </w:rPr>
        <w:t xml:space="preserve"> 2019-2022</w:t>
      </w:r>
      <w:r w:rsidRPr="007C6666">
        <w:rPr>
          <w:rFonts w:ascii="Arial" w:hAnsi="Arial" w:cs="Arial"/>
          <w:bCs/>
          <w:sz w:val="20"/>
          <w:szCs w:val="20"/>
        </w:rPr>
        <w:t xml:space="preserve">, la Estrategia Nacional sobre Drogas y Delitos Asociados (ENDDA) 2020-2030 y el Plan Nacional sobre Drogas, Legitimación de Capitales y Financiamiento al Terrorismo (PNsD) 2020-2024 refiere al abordaje </w:t>
      </w:r>
      <w:r w:rsidR="0090684C" w:rsidRPr="007C6666">
        <w:rPr>
          <w:rFonts w:ascii="Arial" w:hAnsi="Arial" w:cs="Arial"/>
          <w:bCs/>
          <w:sz w:val="20"/>
          <w:szCs w:val="20"/>
        </w:rPr>
        <w:t>asertivo d</w:t>
      </w:r>
      <w:r w:rsidRPr="007C6666">
        <w:rPr>
          <w:rFonts w:ascii="Arial" w:hAnsi="Arial" w:cs="Arial"/>
          <w:bCs/>
          <w:sz w:val="20"/>
          <w:szCs w:val="20"/>
        </w:rPr>
        <w:t>e</w:t>
      </w:r>
      <w:r w:rsidR="0090684C" w:rsidRPr="007C6666">
        <w:rPr>
          <w:rFonts w:ascii="Arial" w:hAnsi="Arial" w:cs="Arial"/>
          <w:bCs/>
          <w:sz w:val="20"/>
          <w:szCs w:val="20"/>
        </w:rPr>
        <w:t>l fenómeno de blanqueo de capitales y los riesgos que este implica a nivel social y económico</w:t>
      </w:r>
      <w:r w:rsidR="005B02A2" w:rsidRPr="007C6666">
        <w:rPr>
          <w:rFonts w:ascii="Arial" w:hAnsi="Arial" w:cs="Arial"/>
          <w:bCs/>
          <w:sz w:val="20"/>
          <w:szCs w:val="20"/>
        </w:rPr>
        <w:t xml:space="preserve">, a través de la </w:t>
      </w:r>
      <w:r w:rsidR="005B02A2" w:rsidRPr="007C6666">
        <w:rPr>
          <w:rFonts w:ascii="Arial" w:hAnsi="Arial" w:cs="Arial"/>
          <w:sz w:val="20"/>
          <w:szCs w:val="20"/>
        </w:rPr>
        <w:t>Estrategia</w:t>
      </w:r>
      <w:r w:rsidR="005B02A2" w:rsidRPr="005B02A2">
        <w:rPr>
          <w:rFonts w:ascii="Arial" w:hAnsi="Arial" w:cs="Arial"/>
          <w:sz w:val="20"/>
          <w:szCs w:val="20"/>
        </w:rPr>
        <w:t xml:space="preserve"> </w:t>
      </w:r>
      <w:r w:rsidR="007C6666">
        <w:rPr>
          <w:rFonts w:ascii="Arial" w:hAnsi="Arial" w:cs="Arial"/>
          <w:sz w:val="20"/>
          <w:szCs w:val="20"/>
        </w:rPr>
        <w:t>n</w:t>
      </w:r>
      <w:r w:rsidR="005B02A2" w:rsidRPr="005B02A2">
        <w:rPr>
          <w:rFonts w:ascii="Arial" w:hAnsi="Arial" w:cs="Arial"/>
          <w:sz w:val="20"/>
          <w:szCs w:val="20"/>
        </w:rPr>
        <w:t xml:space="preserve">acional de </w:t>
      </w:r>
      <w:r w:rsidR="005B02A2">
        <w:rPr>
          <w:rFonts w:ascii="Arial" w:hAnsi="Arial" w:cs="Arial"/>
          <w:sz w:val="20"/>
          <w:szCs w:val="20"/>
        </w:rPr>
        <w:t>l</w:t>
      </w:r>
      <w:r w:rsidR="005B02A2" w:rsidRPr="005B02A2">
        <w:rPr>
          <w:rFonts w:ascii="Arial" w:hAnsi="Arial" w:cs="Arial"/>
          <w:sz w:val="20"/>
          <w:szCs w:val="20"/>
        </w:rPr>
        <w:t xml:space="preserve">ucha contra la </w:t>
      </w:r>
      <w:r w:rsidR="007C6666">
        <w:rPr>
          <w:rFonts w:ascii="Arial" w:hAnsi="Arial" w:cs="Arial"/>
          <w:sz w:val="20"/>
          <w:szCs w:val="20"/>
        </w:rPr>
        <w:t>l</w:t>
      </w:r>
      <w:r w:rsidR="005B02A2" w:rsidRPr="005B02A2">
        <w:rPr>
          <w:rFonts w:ascii="Arial" w:hAnsi="Arial" w:cs="Arial"/>
          <w:sz w:val="20"/>
          <w:szCs w:val="20"/>
        </w:rPr>
        <w:t xml:space="preserve">egitimación de </w:t>
      </w:r>
      <w:r w:rsidR="007C6666" w:rsidRPr="007C6666">
        <w:rPr>
          <w:rFonts w:ascii="Arial" w:hAnsi="Arial" w:cs="Arial"/>
          <w:sz w:val="20"/>
          <w:szCs w:val="20"/>
        </w:rPr>
        <w:t>c</w:t>
      </w:r>
      <w:r w:rsidR="005B02A2" w:rsidRPr="007C6666">
        <w:rPr>
          <w:rFonts w:ascii="Arial" w:hAnsi="Arial" w:cs="Arial"/>
          <w:sz w:val="20"/>
          <w:szCs w:val="20"/>
        </w:rPr>
        <w:t>apitales y el financiamiento al terrorismo.</w:t>
      </w:r>
    </w:p>
    <w:p w14:paraId="7CEF9C25" w14:textId="0F505D5B" w:rsidR="0090684C" w:rsidRPr="007C6666" w:rsidRDefault="0090684C" w:rsidP="00546DF1">
      <w:pPr>
        <w:spacing w:line="360" w:lineRule="auto"/>
        <w:jc w:val="both"/>
        <w:rPr>
          <w:rFonts w:ascii="Arial" w:hAnsi="Arial" w:cs="Arial"/>
          <w:bCs/>
          <w:sz w:val="20"/>
          <w:szCs w:val="20"/>
        </w:rPr>
      </w:pPr>
      <w:r w:rsidRPr="007C6666">
        <w:rPr>
          <w:rFonts w:ascii="Arial" w:hAnsi="Arial" w:cs="Arial"/>
          <w:bCs/>
          <w:sz w:val="20"/>
          <w:szCs w:val="20"/>
        </w:rPr>
        <w:t>La coordinación realizada en 2021 desde el ICD con el sector financiero formal</w:t>
      </w:r>
      <w:r w:rsidR="00277781" w:rsidRPr="007C6666">
        <w:rPr>
          <w:rFonts w:ascii="Arial" w:hAnsi="Arial" w:cs="Arial"/>
          <w:bCs/>
          <w:sz w:val="20"/>
          <w:szCs w:val="20"/>
        </w:rPr>
        <w:t xml:space="preserve"> para prevenir, contener y reprimir el citado </w:t>
      </w:r>
      <w:r w:rsidR="006F1F6D" w:rsidRPr="007C6666">
        <w:rPr>
          <w:rFonts w:ascii="Arial" w:hAnsi="Arial" w:cs="Arial"/>
          <w:bCs/>
          <w:sz w:val="20"/>
          <w:szCs w:val="20"/>
        </w:rPr>
        <w:t>fenómeno</w:t>
      </w:r>
      <w:r w:rsidR="00277781" w:rsidRPr="007C6666">
        <w:rPr>
          <w:rFonts w:ascii="Arial" w:hAnsi="Arial" w:cs="Arial"/>
          <w:bCs/>
          <w:sz w:val="20"/>
          <w:szCs w:val="20"/>
        </w:rPr>
        <w:t xml:space="preserve"> permitió cumplir con las recomendaciones que organismos internacionales </w:t>
      </w:r>
      <w:r w:rsidR="004C1C5A" w:rsidRPr="007C6666">
        <w:rPr>
          <w:rFonts w:ascii="Arial" w:hAnsi="Arial" w:cs="Arial"/>
          <w:bCs/>
          <w:sz w:val="20"/>
          <w:szCs w:val="20"/>
        </w:rPr>
        <w:t>establecen como desafío a favor del crecimiento económico</w:t>
      </w:r>
      <w:r w:rsidR="007C6666" w:rsidRPr="007C6666">
        <w:rPr>
          <w:rFonts w:ascii="Arial" w:hAnsi="Arial" w:cs="Arial"/>
          <w:bCs/>
          <w:sz w:val="20"/>
          <w:szCs w:val="20"/>
        </w:rPr>
        <w:t>, la seguridad ciudadana</w:t>
      </w:r>
      <w:r w:rsidR="004C1C5A" w:rsidRPr="007C6666">
        <w:rPr>
          <w:rFonts w:ascii="Arial" w:hAnsi="Arial" w:cs="Arial"/>
          <w:bCs/>
          <w:sz w:val="20"/>
          <w:szCs w:val="20"/>
        </w:rPr>
        <w:t xml:space="preserve"> y el desarrollo social del país.</w:t>
      </w:r>
    </w:p>
    <w:p w14:paraId="73EFCA3B" w14:textId="77777777" w:rsidR="00CB643F" w:rsidRDefault="00CB643F">
      <w:pPr>
        <w:rPr>
          <w:rFonts w:ascii="Arial" w:eastAsiaTheme="majorEastAsia" w:hAnsi="Arial" w:cs="Arial"/>
          <w:b/>
          <w:bCs/>
          <w:iCs/>
          <w:color w:val="002060"/>
          <w:spacing w:val="15"/>
          <w:szCs w:val="24"/>
        </w:rPr>
      </w:pPr>
      <w:r>
        <w:rPr>
          <w:rFonts w:ascii="Arial" w:hAnsi="Arial" w:cs="Arial"/>
          <w:iCs/>
          <w:smallCaps/>
          <w:color w:val="002060"/>
          <w:spacing w:val="15"/>
          <w:szCs w:val="24"/>
        </w:rPr>
        <w:br w:type="page"/>
      </w:r>
    </w:p>
    <w:p w14:paraId="1C686950" w14:textId="3E9AAD49" w:rsidR="001D7CB1" w:rsidRDefault="001D7CB1" w:rsidP="00DE5EE9">
      <w:pPr>
        <w:pStyle w:val="Ttulo2"/>
        <w:numPr>
          <w:ilvl w:val="2"/>
          <w:numId w:val="11"/>
        </w:numPr>
        <w:jc w:val="both"/>
        <w:rPr>
          <w:rFonts w:ascii="Arial" w:hAnsi="Arial" w:cs="Arial"/>
          <w:iCs/>
          <w:smallCaps w:val="0"/>
          <w:color w:val="002060"/>
          <w:spacing w:val="15"/>
          <w:sz w:val="22"/>
          <w:szCs w:val="24"/>
        </w:rPr>
      </w:pPr>
      <w:bookmarkStart w:id="67" w:name="_Toc93673242"/>
      <w:r w:rsidRPr="00EF3B61">
        <w:rPr>
          <w:rFonts w:ascii="Arial" w:hAnsi="Arial" w:cs="Arial"/>
          <w:iCs/>
          <w:smallCaps w:val="0"/>
          <w:color w:val="002060"/>
          <w:spacing w:val="15"/>
          <w:sz w:val="22"/>
          <w:szCs w:val="24"/>
        </w:rPr>
        <w:lastRenderedPageBreak/>
        <w:t xml:space="preserve">Análisis de </w:t>
      </w:r>
      <w:r w:rsidR="00103798">
        <w:rPr>
          <w:rFonts w:ascii="Arial" w:hAnsi="Arial" w:cs="Arial"/>
          <w:iCs/>
          <w:smallCaps w:val="0"/>
          <w:color w:val="002060"/>
          <w:spacing w:val="15"/>
          <w:sz w:val="22"/>
          <w:szCs w:val="24"/>
        </w:rPr>
        <w:t>u</w:t>
      </w:r>
      <w:r w:rsidRPr="00EF3B61">
        <w:rPr>
          <w:rFonts w:ascii="Arial" w:hAnsi="Arial" w:cs="Arial"/>
          <w:iCs/>
          <w:smallCaps w:val="0"/>
          <w:color w:val="002060"/>
          <w:spacing w:val="15"/>
          <w:sz w:val="22"/>
          <w:szCs w:val="24"/>
        </w:rPr>
        <w:t xml:space="preserve">nidades de </w:t>
      </w:r>
      <w:r w:rsidR="00103798">
        <w:rPr>
          <w:rFonts w:ascii="Arial" w:hAnsi="Arial" w:cs="Arial"/>
          <w:iCs/>
          <w:smallCaps w:val="0"/>
          <w:color w:val="002060"/>
          <w:spacing w:val="15"/>
          <w:sz w:val="22"/>
          <w:szCs w:val="24"/>
        </w:rPr>
        <w:t>m</w:t>
      </w:r>
      <w:r w:rsidRPr="00EF3B61">
        <w:rPr>
          <w:rFonts w:ascii="Arial" w:hAnsi="Arial" w:cs="Arial"/>
          <w:iCs/>
          <w:smallCaps w:val="0"/>
          <w:color w:val="002060"/>
          <w:spacing w:val="15"/>
          <w:sz w:val="22"/>
          <w:szCs w:val="24"/>
        </w:rPr>
        <w:t>edida</w:t>
      </w:r>
      <w:bookmarkEnd w:id="67"/>
    </w:p>
    <w:p w14:paraId="6C9CDEC1" w14:textId="77777777" w:rsidR="00BC69C7" w:rsidRDefault="00BC69C7" w:rsidP="00BC69C7">
      <w:pPr>
        <w:spacing w:after="0"/>
      </w:pPr>
    </w:p>
    <w:p w14:paraId="0A7CA01C" w14:textId="77777777" w:rsidR="00975364" w:rsidRPr="00286078" w:rsidRDefault="00FE11E2" w:rsidP="00975364">
      <w:pPr>
        <w:spacing w:after="0"/>
        <w:jc w:val="center"/>
        <w:rPr>
          <w:rFonts w:ascii="Arial" w:hAnsi="Arial" w:cs="Arial"/>
          <w:sz w:val="20"/>
          <w:szCs w:val="20"/>
          <w:lang w:val="es-ES_tradnl"/>
        </w:rPr>
      </w:pPr>
      <w:r w:rsidRPr="00596BA4">
        <w:rPr>
          <w:rFonts w:ascii="Arial" w:hAnsi="Arial" w:cs="Arial"/>
          <w:b/>
          <w:sz w:val="20"/>
          <w:szCs w:val="20"/>
          <w:lang w:val="es-ES_tradnl"/>
        </w:rPr>
        <w:t xml:space="preserve">Cuadro </w:t>
      </w:r>
      <w:r w:rsidR="004F49FF">
        <w:rPr>
          <w:rFonts w:ascii="Arial" w:hAnsi="Arial" w:cs="Arial"/>
          <w:b/>
          <w:sz w:val="20"/>
          <w:szCs w:val="20"/>
          <w:lang w:val="es-ES_tradnl"/>
        </w:rPr>
        <w:t>5</w:t>
      </w:r>
      <w:r w:rsidR="00975364">
        <w:rPr>
          <w:rFonts w:ascii="Arial" w:hAnsi="Arial" w:cs="Arial"/>
          <w:b/>
          <w:sz w:val="20"/>
          <w:szCs w:val="20"/>
          <w:lang w:val="es-ES_tradnl"/>
        </w:rPr>
        <w:t>.</w:t>
      </w:r>
      <w:r w:rsidR="00975364" w:rsidRPr="00975364">
        <w:rPr>
          <w:rFonts w:ascii="Arial" w:hAnsi="Arial" w:cs="Arial"/>
          <w:b/>
          <w:sz w:val="20"/>
          <w:szCs w:val="20"/>
          <w:lang w:val="es-ES_tradnl"/>
        </w:rPr>
        <w:t xml:space="preserve"> </w:t>
      </w:r>
      <w:r w:rsidR="00975364" w:rsidRPr="00286078">
        <w:rPr>
          <w:rFonts w:ascii="Arial" w:hAnsi="Arial" w:cs="Arial"/>
          <w:b/>
          <w:sz w:val="20"/>
          <w:szCs w:val="20"/>
          <w:lang w:val="es-ES_tradnl"/>
        </w:rPr>
        <w:t xml:space="preserve">Cumplimiento de unidades de medida </w:t>
      </w:r>
    </w:p>
    <w:p w14:paraId="6A170EA3" w14:textId="7769780B" w:rsidR="00975364" w:rsidRPr="00875316" w:rsidRDefault="00875316" w:rsidP="00975364">
      <w:pPr>
        <w:spacing w:after="0" w:line="240" w:lineRule="auto"/>
        <w:jc w:val="center"/>
        <w:rPr>
          <w:rFonts w:ascii="Arial" w:hAnsi="Arial" w:cs="Arial"/>
          <w:sz w:val="20"/>
          <w:szCs w:val="20"/>
          <w:lang w:val="es-ES_tradnl"/>
        </w:rPr>
      </w:pPr>
      <w:r w:rsidRPr="00286078">
        <w:rPr>
          <w:rFonts w:ascii="Arial" w:hAnsi="Arial" w:cs="Arial"/>
          <w:sz w:val="20"/>
          <w:szCs w:val="20"/>
          <w:lang w:val="es-ES_tradnl"/>
        </w:rPr>
        <w:t>Programa 043</w:t>
      </w:r>
    </w:p>
    <w:p w14:paraId="11997376" w14:textId="77777777" w:rsidR="00886333" w:rsidRPr="00596BA4" w:rsidRDefault="008A4ADC" w:rsidP="006260DB">
      <w:pPr>
        <w:spacing w:after="0"/>
        <w:jc w:val="center"/>
        <w:rPr>
          <w:rFonts w:ascii="Arial" w:hAnsi="Arial" w:cs="Arial"/>
          <w:b/>
          <w:sz w:val="20"/>
          <w:szCs w:val="20"/>
          <w:lang w:val="es-ES_tradnl"/>
        </w:rPr>
      </w:pPr>
      <w:r>
        <w:rPr>
          <w:rFonts w:ascii="Arial" w:hAnsi="Arial" w:cs="Arial"/>
          <w:sz w:val="20"/>
          <w:szCs w:val="20"/>
          <w:lang w:val="es-ES_tradnl"/>
        </w:rPr>
        <w:t>A</w:t>
      </w:r>
      <w:r w:rsidR="00FE11E2" w:rsidRPr="00566303">
        <w:rPr>
          <w:rFonts w:ascii="Arial" w:hAnsi="Arial" w:cs="Arial"/>
          <w:sz w:val="20"/>
          <w:szCs w:val="20"/>
          <w:lang w:val="es-ES_tradnl"/>
        </w:rPr>
        <w:t xml:space="preserve">l 31 de diciembre </w:t>
      </w:r>
      <w:r w:rsidR="00556139">
        <w:rPr>
          <w:rFonts w:ascii="Arial" w:hAnsi="Arial" w:cs="Arial"/>
          <w:sz w:val="20"/>
          <w:szCs w:val="20"/>
          <w:lang w:val="es-ES_tradnl"/>
        </w:rPr>
        <w:t>2021</w:t>
      </w:r>
    </w:p>
    <w:tbl>
      <w:tblPr>
        <w:tblStyle w:val="Listaclara-nfasis1"/>
        <w:tblW w:w="9214" w:type="dxa"/>
        <w:tblInd w:w="-152" w:type="dxa"/>
        <w:tblLook w:val="00A0" w:firstRow="1" w:lastRow="0" w:firstColumn="1" w:lastColumn="0" w:noHBand="0" w:noVBand="0"/>
      </w:tblPr>
      <w:tblGrid>
        <w:gridCol w:w="1681"/>
        <w:gridCol w:w="1110"/>
        <w:gridCol w:w="1182"/>
        <w:gridCol w:w="1037"/>
        <w:gridCol w:w="1037"/>
        <w:gridCol w:w="1037"/>
        <w:gridCol w:w="2130"/>
      </w:tblGrid>
      <w:tr w:rsidR="007C1827" w:rsidRPr="00370D96" w14:paraId="291572F0" w14:textId="77777777" w:rsidTr="00ED349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81" w:type="dxa"/>
            <w:vAlign w:val="center"/>
          </w:tcPr>
          <w:p w14:paraId="60A1A02C" w14:textId="77777777" w:rsidR="00003A52" w:rsidRPr="00370D96" w:rsidRDefault="00003A52" w:rsidP="004F2438">
            <w:pPr>
              <w:jc w:val="center"/>
              <w:rPr>
                <w:rFonts w:ascii="Arial Narrow" w:hAnsi="Arial Narrow" w:cs="Arial"/>
                <w:b w:val="0"/>
                <w:sz w:val="20"/>
                <w:szCs w:val="20"/>
              </w:rPr>
            </w:pPr>
            <w:r w:rsidRPr="00370D96">
              <w:rPr>
                <w:rFonts w:ascii="Arial Narrow" w:hAnsi="Arial Narrow" w:cs="Arial"/>
                <w:sz w:val="20"/>
                <w:szCs w:val="20"/>
              </w:rPr>
              <w:t>Nombre del producto</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9957474" w14:textId="77777777" w:rsidR="00003A52" w:rsidRPr="00370D96" w:rsidRDefault="00003A52" w:rsidP="004F2438">
            <w:pPr>
              <w:jc w:val="center"/>
              <w:rPr>
                <w:rFonts w:ascii="Arial Narrow" w:hAnsi="Arial Narrow" w:cs="Arial"/>
                <w:b w:val="0"/>
                <w:bCs w:val="0"/>
                <w:sz w:val="20"/>
                <w:szCs w:val="20"/>
              </w:rPr>
            </w:pPr>
            <w:r w:rsidRPr="00370D96">
              <w:rPr>
                <w:rFonts w:ascii="Arial Narrow" w:hAnsi="Arial Narrow" w:cs="Arial"/>
                <w:sz w:val="20"/>
                <w:szCs w:val="20"/>
              </w:rPr>
              <w:t xml:space="preserve">Nombre de la </w:t>
            </w:r>
          </w:p>
          <w:p w14:paraId="25A187FE" w14:textId="77777777" w:rsidR="00003A52" w:rsidRPr="00370D96" w:rsidRDefault="008A4ADC" w:rsidP="004F2438">
            <w:pPr>
              <w:jc w:val="center"/>
              <w:rPr>
                <w:rFonts w:ascii="Arial Narrow" w:hAnsi="Arial Narrow" w:cs="Arial"/>
                <w:b w:val="0"/>
                <w:sz w:val="20"/>
                <w:szCs w:val="20"/>
              </w:rPr>
            </w:pPr>
            <w:r w:rsidRPr="00370D96">
              <w:rPr>
                <w:rFonts w:ascii="Arial Narrow" w:hAnsi="Arial Narrow" w:cs="Arial"/>
                <w:sz w:val="20"/>
                <w:szCs w:val="20"/>
              </w:rPr>
              <w:t>u</w:t>
            </w:r>
            <w:r w:rsidR="00003A52" w:rsidRPr="00370D96">
              <w:rPr>
                <w:rFonts w:ascii="Arial Narrow" w:hAnsi="Arial Narrow" w:cs="Arial"/>
                <w:sz w:val="20"/>
                <w:szCs w:val="20"/>
              </w:rPr>
              <w:t xml:space="preserve">nidad de </w:t>
            </w:r>
            <w:r w:rsidRPr="00370D96">
              <w:rPr>
                <w:rFonts w:ascii="Arial Narrow" w:hAnsi="Arial Narrow" w:cs="Arial"/>
                <w:sz w:val="20"/>
                <w:szCs w:val="20"/>
              </w:rPr>
              <w:t>m</w:t>
            </w:r>
            <w:r w:rsidR="00003A52" w:rsidRPr="00370D96">
              <w:rPr>
                <w:rFonts w:ascii="Arial Narrow" w:hAnsi="Arial Narrow" w:cs="Arial"/>
                <w:sz w:val="20"/>
                <w:szCs w:val="20"/>
              </w:rPr>
              <w:t>edida</w:t>
            </w:r>
          </w:p>
        </w:tc>
        <w:tc>
          <w:tcPr>
            <w:tcW w:w="0" w:type="auto"/>
            <w:vAlign w:val="center"/>
          </w:tcPr>
          <w:p w14:paraId="0F8B1991" w14:textId="77777777" w:rsidR="00003A52" w:rsidRPr="00370D96" w:rsidRDefault="00003A52" w:rsidP="004F2438">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sz w:val="20"/>
                <w:szCs w:val="20"/>
              </w:rPr>
            </w:pPr>
            <w:r w:rsidRPr="00370D96">
              <w:rPr>
                <w:rFonts w:ascii="Arial Narrow" w:hAnsi="Arial Narrow" w:cs="Arial"/>
                <w:sz w:val="20"/>
                <w:szCs w:val="20"/>
              </w:rPr>
              <w:t>Programado</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F12E6A9" w14:textId="77777777" w:rsidR="00003A52" w:rsidRPr="00370D96" w:rsidRDefault="00003A52" w:rsidP="004F2438">
            <w:pPr>
              <w:jc w:val="center"/>
              <w:rPr>
                <w:rFonts w:ascii="Arial Narrow" w:hAnsi="Arial Narrow" w:cs="Arial"/>
                <w:b w:val="0"/>
                <w:sz w:val="20"/>
                <w:szCs w:val="20"/>
              </w:rPr>
            </w:pPr>
            <w:r w:rsidRPr="00370D96">
              <w:rPr>
                <w:rFonts w:ascii="Arial Narrow" w:hAnsi="Arial Narrow" w:cs="Arial"/>
                <w:sz w:val="20"/>
                <w:szCs w:val="20"/>
              </w:rPr>
              <w:t>Alcanzado</w:t>
            </w:r>
          </w:p>
        </w:tc>
        <w:tc>
          <w:tcPr>
            <w:tcW w:w="0" w:type="auto"/>
            <w:vAlign w:val="center"/>
          </w:tcPr>
          <w:p w14:paraId="15412A3E" w14:textId="69762B9B" w:rsidR="00003A52" w:rsidRPr="00370D96" w:rsidRDefault="00003A52" w:rsidP="004F2438">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sz w:val="20"/>
                <w:szCs w:val="20"/>
              </w:rPr>
            </w:pPr>
            <w:r w:rsidRPr="00370D96">
              <w:rPr>
                <w:rFonts w:ascii="Arial Narrow" w:hAnsi="Arial Narrow" w:cs="Arial"/>
                <w:sz w:val="20"/>
                <w:szCs w:val="20"/>
              </w:rPr>
              <w:t>Nivel alcanzado al 3</w:t>
            </w:r>
            <w:r w:rsidR="00F90E33" w:rsidRPr="00370D96">
              <w:rPr>
                <w:rFonts w:ascii="Arial Narrow" w:hAnsi="Arial Narrow" w:cs="Arial"/>
                <w:sz w:val="20"/>
                <w:szCs w:val="20"/>
              </w:rPr>
              <w:t>0</w:t>
            </w:r>
            <w:r w:rsidRPr="00370D96">
              <w:rPr>
                <w:rFonts w:ascii="Arial Narrow" w:hAnsi="Arial Narrow" w:cs="Arial"/>
                <w:sz w:val="20"/>
                <w:szCs w:val="20"/>
              </w:rPr>
              <w:t>/</w:t>
            </w:r>
            <w:r w:rsidR="00F90E33" w:rsidRPr="00370D96">
              <w:rPr>
                <w:rFonts w:ascii="Arial Narrow" w:hAnsi="Arial Narrow" w:cs="Arial"/>
                <w:sz w:val="20"/>
                <w:szCs w:val="20"/>
              </w:rPr>
              <w:t>06</w:t>
            </w:r>
            <w:r w:rsidRPr="00370D96">
              <w:rPr>
                <w:rFonts w:ascii="Arial Narrow" w:hAnsi="Arial Narrow" w:cs="Arial"/>
                <w:sz w:val="20"/>
                <w:szCs w:val="20"/>
              </w:rPr>
              <w:t>/2021</w:t>
            </w:r>
            <w:r w:rsidR="003E4172" w:rsidRPr="00370D96">
              <w:rPr>
                <w:rFonts w:ascii="Arial Narrow" w:hAnsi="Arial Narrow" w:cs="Arial"/>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68E4152" w14:textId="77777777" w:rsidR="00003A52" w:rsidRPr="00370D96" w:rsidRDefault="00003A52" w:rsidP="004F2438">
            <w:pPr>
              <w:jc w:val="center"/>
              <w:rPr>
                <w:rFonts w:ascii="Arial Narrow" w:hAnsi="Arial Narrow" w:cs="Arial"/>
                <w:b w:val="0"/>
                <w:color w:val="0070C0"/>
                <w:sz w:val="20"/>
                <w:szCs w:val="20"/>
                <w:highlight w:val="yellow"/>
              </w:rPr>
            </w:pPr>
            <w:r w:rsidRPr="00370D96">
              <w:rPr>
                <w:rFonts w:ascii="Arial Narrow" w:hAnsi="Arial Narrow" w:cs="Arial"/>
                <w:sz w:val="20"/>
                <w:szCs w:val="20"/>
              </w:rPr>
              <w:t>Nivel alcanzado al 3</w:t>
            </w:r>
            <w:r w:rsidR="00F90E33" w:rsidRPr="00370D96">
              <w:rPr>
                <w:rFonts w:ascii="Arial Narrow" w:hAnsi="Arial Narrow" w:cs="Arial"/>
                <w:sz w:val="20"/>
                <w:szCs w:val="20"/>
              </w:rPr>
              <w:t>1</w:t>
            </w:r>
            <w:r w:rsidRPr="00370D96">
              <w:rPr>
                <w:rFonts w:ascii="Arial Narrow" w:hAnsi="Arial Narrow" w:cs="Arial"/>
                <w:sz w:val="20"/>
                <w:szCs w:val="20"/>
              </w:rPr>
              <w:t>/</w:t>
            </w:r>
            <w:r w:rsidR="00F90E33" w:rsidRPr="00370D96">
              <w:rPr>
                <w:rFonts w:ascii="Arial Narrow" w:hAnsi="Arial Narrow" w:cs="Arial"/>
                <w:sz w:val="20"/>
                <w:szCs w:val="20"/>
              </w:rPr>
              <w:t>12</w:t>
            </w:r>
            <w:r w:rsidRPr="00370D96">
              <w:rPr>
                <w:rFonts w:ascii="Arial Narrow" w:hAnsi="Arial Narrow" w:cs="Arial"/>
                <w:sz w:val="20"/>
                <w:szCs w:val="20"/>
              </w:rPr>
              <w:t xml:space="preserve">/2021 </w:t>
            </w:r>
          </w:p>
        </w:tc>
        <w:tc>
          <w:tcPr>
            <w:tcW w:w="2130" w:type="dxa"/>
            <w:vAlign w:val="center"/>
          </w:tcPr>
          <w:p w14:paraId="2A6CC02E" w14:textId="33E193B2" w:rsidR="00003A52" w:rsidRPr="00370D96" w:rsidRDefault="00003A52" w:rsidP="004F2438">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sz w:val="20"/>
                <w:szCs w:val="20"/>
              </w:rPr>
            </w:pPr>
            <w:r w:rsidRPr="00370D96">
              <w:rPr>
                <w:rFonts w:ascii="Arial Narrow" w:hAnsi="Arial Narrow" w:cs="Arial"/>
                <w:sz w:val="20"/>
                <w:szCs w:val="20"/>
              </w:rPr>
              <w:t>Fuente de datos</w:t>
            </w:r>
            <w:r w:rsidR="00637071" w:rsidRPr="00370D96">
              <w:rPr>
                <w:rFonts w:ascii="Arial Narrow" w:hAnsi="Arial Narrow" w:cs="Arial"/>
                <w:sz w:val="20"/>
                <w:szCs w:val="20"/>
              </w:rPr>
              <w:t xml:space="preserve"> </w:t>
            </w:r>
          </w:p>
        </w:tc>
      </w:tr>
      <w:tr w:rsidR="003962E4" w:rsidRPr="00370D96" w14:paraId="391C3070" w14:textId="77777777" w:rsidTr="00ED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1" w:type="dxa"/>
          </w:tcPr>
          <w:p w14:paraId="36E72CF1" w14:textId="566C6770" w:rsidR="003962E4" w:rsidRPr="00752EC0" w:rsidRDefault="003962E4" w:rsidP="00ED3499">
            <w:pPr>
              <w:spacing w:before="60" w:after="60" w:line="240" w:lineRule="auto"/>
              <w:jc w:val="center"/>
              <w:rPr>
                <w:rFonts w:ascii="Arial Narrow" w:hAnsi="Arial Narrow" w:cs="Arial"/>
                <w:b w:val="0"/>
                <w:color w:val="C00000"/>
                <w:sz w:val="20"/>
                <w:szCs w:val="20"/>
                <w:highlight w:val="yellow"/>
                <w:lang w:val="es-ES_tradnl"/>
              </w:rPr>
            </w:pPr>
            <w:bookmarkStart w:id="68" w:name="_Hlk92874039"/>
            <w:r w:rsidRPr="00752EC0">
              <w:rPr>
                <w:rFonts w:ascii="Arial Narrow" w:hAnsi="Arial Narrow" w:cs="Arial"/>
                <w:b w:val="0"/>
                <w:bCs w:val="0"/>
                <w:sz w:val="20"/>
                <w:szCs w:val="20"/>
                <w:lang w:val="es-MX"/>
              </w:rPr>
              <w:t>PF. 01.Venta de bienes decomisados y comisados.</w:t>
            </w:r>
          </w:p>
        </w:tc>
        <w:tc>
          <w:tcPr>
            <w:cnfStyle w:val="000010000000" w:firstRow="0" w:lastRow="0" w:firstColumn="0" w:lastColumn="0" w:oddVBand="1" w:evenVBand="0" w:oddHBand="0" w:evenHBand="0" w:firstRowFirstColumn="0" w:firstRowLastColumn="0" w:lastRowFirstColumn="0" w:lastRowLastColumn="0"/>
            <w:tcW w:w="0" w:type="auto"/>
          </w:tcPr>
          <w:p w14:paraId="5DB3E587" w14:textId="6B312188" w:rsidR="003962E4" w:rsidRPr="00752EC0" w:rsidRDefault="003962E4" w:rsidP="00ED3499">
            <w:pPr>
              <w:spacing w:before="60" w:after="60" w:line="240" w:lineRule="auto"/>
              <w:jc w:val="center"/>
              <w:rPr>
                <w:rFonts w:ascii="Arial Narrow" w:hAnsi="Arial Narrow" w:cs="Arial"/>
                <w:color w:val="C00000"/>
                <w:sz w:val="20"/>
                <w:szCs w:val="20"/>
                <w:highlight w:val="yellow"/>
                <w:lang w:val="es-ES_tradnl"/>
              </w:rPr>
            </w:pPr>
            <w:r w:rsidRPr="00752EC0">
              <w:rPr>
                <w:rFonts w:ascii="Arial Narrow" w:hAnsi="Arial Narrow" w:cs="Arial"/>
                <w:sz w:val="20"/>
                <w:szCs w:val="20"/>
                <w:lang w:val="es-MX"/>
              </w:rPr>
              <w:t>Monto en millones de colones.</w:t>
            </w:r>
          </w:p>
        </w:tc>
        <w:tc>
          <w:tcPr>
            <w:tcW w:w="0" w:type="auto"/>
            <w:vAlign w:val="center"/>
          </w:tcPr>
          <w:p w14:paraId="59794CED" w14:textId="2B864942" w:rsidR="003962E4" w:rsidRPr="00752EC0" w:rsidRDefault="003962E4" w:rsidP="00ED3499">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C00000"/>
                <w:sz w:val="20"/>
                <w:szCs w:val="20"/>
                <w:highlight w:val="yellow"/>
                <w:lang w:val="es-ES_tradnl"/>
              </w:rPr>
            </w:pPr>
            <w:r w:rsidRPr="00752EC0">
              <w:rPr>
                <w:rFonts w:ascii="Arial Narrow" w:hAnsi="Arial Narrow" w:cs="Arial"/>
                <w:color w:val="000000"/>
                <w:sz w:val="20"/>
                <w:szCs w:val="20"/>
              </w:rPr>
              <w:t>581,10</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D88F49F" w14:textId="6F5E24AC" w:rsidR="003962E4" w:rsidRPr="00752EC0" w:rsidRDefault="003C75B1" w:rsidP="00ED3499">
            <w:pPr>
              <w:spacing w:before="60" w:after="60" w:line="240" w:lineRule="auto"/>
              <w:jc w:val="center"/>
              <w:rPr>
                <w:rFonts w:ascii="Arial Narrow" w:hAnsi="Arial Narrow" w:cs="Arial"/>
                <w:color w:val="000000"/>
                <w:sz w:val="20"/>
                <w:szCs w:val="20"/>
              </w:rPr>
            </w:pPr>
            <w:r w:rsidRPr="00752EC0">
              <w:rPr>
                <w:rFonts w:ascii="Arial Narrow" w:hAnsi="Arial Narrow" w:cs="Arial"/>
                <w:color w:val="000000"/>
                <w:sz w:val="20"/>
                <w:szCs w:val="20"/>
              </w:rPr>
              <w:t>791,33</w:t>
            </w:r>
          </w:p>
        </w:tc>
        <w:tc>
          <w:tcPr>
            <w:tcW w:w="0" w:type="auto"/>
            <w:vAlign w:val="center"/>
          </w:tcPr>
          <w:p w14:paraId="2A1D270B" w14:textId="53207444" w:rsidR="003962E4" w:rsidRPr="00752EC0" w:rsidRDefault="00DC6316" w:rsidP="00ED3499">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752EC0">
              <w:rPr>
                <w:rFonts w:ascii="Arial Narrow" w:hAnsi="Arial Narrow" w:cs="Arial"/>
                <w:color w:val="000000"/>
                <w:sz w:val="20"/>
                <w:szCs w:val="20"/>
              </w:rPr>
              <w:t>93,00%</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3B6F9C13" w14:textId="4CACED6E" w:rsidR="003962E4" w:rsidRPr="00752EC0" w:rsidRDefault="003C75B1" w:rsidP="00ED3499">
            <w:pPr>
              <w:spacing w:before="60" w:after="60" w:line="240" w:lineRule="auto"/>
              <w:jc w:val="center"/>
              <w:rPr>
                <w:rFonts w:ascii="Arial Narrow" w:hAnsi="Arial Narrow" w:cs="Arial"/>
                <w:color w:val="000000"/>
                <w:sz w:val="20"/>
                <w:szCs w:val="20"/>
              </w:rPr>
            </w:pPr>
            <w:r w:rsidRPr="00752EC0">
              <w:rPr>
                <w:rFonts w:ascii="Arial Narrow" w:hAnsi="Arial Narrow" w:cs="Arial"/>
                <w:color w:val="000000"/>
                <w:sz w:val="20"/>
                <w:szCs w:val="20"/>
              </w:rPr>
              <w:t>136,18%</w:t>
            </w:r>
          </w:p>
        </w:tc>
        <w:tc>
          <w:tcPr>
            <w:tcW w:w="2130" w:type="dxa"/>
          </w:tcPr>
          <w:p w14:paraId="43C35EE4" w14:textId="509BF636" w:rsidR="003962E4" w:rsidRPr="00752EC0" w:rsidRDefault="00D7172A" w:rsidP="00ED3499">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752EC0">
              <w:rPr>
                <w:rFonts w:ascii="Arial Narrow" w:hAnsi="Arial Narrow" w:cs="Calibri"/>
                <w:color w:val="000000"/>
                <w:sz w:val="20"/>
                <w:szCs w:val="20"/>
              </w:rPr>
              <w:t>Sistema de Gestión y Monitoreo de Actividades -SIGMA-, Unidad Recuperación de Activos, ICD.</w:t>
            </w:r>
          </w:p>
        </w:tc>
      </w:tr>
      <w:tr w:rsidR="00812A8C" w:rsidRPr="00370D96" w14:paraId="7B260066" w14:textId="77777777" w:rsidTr="00ED3499">
        <w:tc>
          <w:tcPr>
            <w:cnfStyle w:val="001000000000" w:firstRow="0" w:lastRow="0" w:firstColumn="1" w:lastColumn="0" w:oddVBand="0" w:evenVBand="0" w:oddHBand="0" w:evenHBand="0" w:firstRowFirstColumn="0" w:firstRowLastColumn="0" w:lastRowFirstColumn="0" w:lastRowLastColumn="0"/>
            <w:tcW w:w="1681" w:type="dxa"/>
            <w:vMerge w:val="restart"/>
          </w:tcPr>
          <w:p w14:paraId="097B09D7" w14:textId="17C90E47" w:rsidR="00812A8C" w:rsidRPr="00752EC0" w:rsidRDefault="00812A8C" w:rsidP="00ED3499">
            <w:pPr>
              <w:spacing w:before="60" w:after="60" w:line="240" w:lineRule="auto"/>
              <w:jc w:val="center"/>
              <w:rPr>
                <w:rFonts w:ascii="Arial Narrow" w:hAnsi="Arial Narrow" w:cs="Arial"/>
                <w:b w:val="0"/>
                <w:sz w:val="20"/>
                <w:szCs w:val="20"/>
                <w:lang w:val="es-ES_tradnl"/>
              </w:rPr>
            </w:pPr>
            <w:r w:rsidRPr="00752EC0">
              <w:rPr>
                <w:rFonts w:ascii="Arial Narrow" w:hAnsi="Arial Narrow" w:cs="Arial"/>
                <w:b w:val="0"/>
                <w:bCs w:val="0"/>
                <w:sz w:val="20"/>
                <w:szCs w:val="20"/>
                <w:lang w:val="es-MX"/>
              </w:rPr>
              <w:t>PF. 02. Intervenciones para la reducción de actividades ilícitas.</w:t>
            </w:r>
          </w:p>
        </w:tc>
        <w:tc>
          <w:tcPr>
            <w:cnfStyle w:val="000010000000" w:firstRow="0" w:lastRow="0" w:firstColumn="0" w:lastColumn="0" w:oddVBand="1" w:evenVBand="0" w:oddHBand="0" w:evenHBand="0" w:firstRowFirstColumn="0" w:firstRowLastColumn="0" w:lastRowFirstColumn="0" w:lastRowLastColumn="0"/>
            <w:tcW w:w="0" w:type="auto"/>
          </w:tcPr>
          <w:p w14:paraId="503525B7" w14:textId="56E045BB" w:rsidR="00812A8C" w:rsidRPr="00752EC0" w:rsidRDefault="00812A8C" w:rsidP="00ED3499">
            <w:pPr>
              <w:spacing w:before="60" w:after="60" w:line="240" w:lineRule="auto"/>
              <w:jc w:val="center"/>
              <w:rPr>
                <w:rFonts w:ascii="Arial Narrow" w:hAnsi="Arial Narrow" w:cs="Arial"/>
                <w:sz w:val="20"/>
                <w:szCs w:val="20"/>
                <w:lang w:val="es-ES_tradnl"/>
              </w:rPr>
            </w:pPr>
            <w:r w:rsidRPr="00752EC0">
              <w:rPr>
                <w:rFonts w:ascii="Arial Narrow" w:hAnsi="Arial Narrow" w:cs="Arial"/>
                <w:sz w:val="20"/>
                <w:szCs w:val="20"/>
                <w:lang w:val="es-MX"/>
              </w:rPr>
              <w:t>Etapa efectuada.</w:t>
            </w:r>
          </w:p>
        </w:tc>
        <w:tc>
          <w:tcPr>
            <w:tcW w:w="0" w:type="auto"/>
            <w:vAlign w:val="center"/>
          </w:tcPr>
          <w:p w14:paraId="21F4C88E" w14:textId="59B52930" w:rsidR="00812A8C" w:rsidRPr="00752EC0" w:rsidRDefault="00812A8C" w:rsidP="00ED3499">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val="es-ES_tradnl"/>
              </w:rPr>
            </w:pPr>
            <w:r w:rsidRPr="00752EC0">
              <w:rPr>
                <w:rFonts w:ascii="Arial Narrow" w:hAnsi="Arial Narrow" w:cs="Arial"/>
                <w:color w:val="000000"/>
                <w:sz w:val="20"/>
                <w:szCs w:val="20"/>
              </w:rPr>
              <w:t>20,00</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46BEB8B7" w14:textId="0B7854CF" w:rsidR="00812A8C" w:rsidRPr="00752EC0" w:rsidRDefault="00812A8C" w:rsidP="00ED3499">
            <w:pPr>
              <w:spacing w:before="60" w:after="60" w:line="240" w:lineRule="auto"/>
              <w:jc w:val="center"/>
              <w:rPr>
                <w:rFonts w:ascii="Arial Narrow" w:hAnsi="Arial Narrow" w:cs="Arial"/>
                <w:color w:val="000000"/>
                <w:sz w:val="20"/>
                <w:szCs w:val="20"/>
              </w:rPr>
            </w:pPr>
            <w:r w:rsidRPr="00752EC0">
              <w:rPr>
                <w:rFonts w:ascii="Arial Narrow" w:hAnsi="Arial Narrow" w:cs="Arial"/>
                <w:color w:val="000000"/>
                <w:sz w:val="20"/>
                <w:szCs w:val="20"/>
              </w:rPr>
              <w:t>20,00</w:t>
            </w:r>
          </w:p>
        </w:tc>
        <w:tc>
          <w:tcPr>
            <w:tcW w:w="0" w:type="auto"/>
            <w:vAlign w:val="center"/>
          </w:tcPr>
          <w:p w14:paraId="1DC1291D" w14:textId="47362CE5" w:rsidR="00812A8C" w:rsidRPr="00752EC0" w:rsidRDefault="00812A8C" w:rsidP="00ED3499">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752EC0">
              <w:rPr>
                <w:rFonts w:ascii="Arial Narrow" w:hAnsi="Arial Narrow" w:cs="Arial"/>
                <w:color w:val="000000"/>
                <w:sz w:val="20"/>
                <w:szCs w:val="20"/>
              </w:rPr>
              <w:t>50,00%</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652EED7" w14:textId="6F450EF1" w:rsidR="00812A8C" w:rsidRPr="00752EC0" w:rsidRDefault="00812A8C" w:rsidP="00ED3499">
            <w:pPr>
              <w:spacing w:before="60" w:after="60" w:line="240" w:lineRule="auto"/>
              <w:jc w:val="center"/>
              <w:rPr>
                <w:rFonts w:ascii="Arial Narrow" w:hAnsi="Arial Narrow" w:cs="Arial"/>
                <w:color w:val="000000"/>
                <w:sz w:val="20"/>
                <w:szCs w:val="20"/>
              </w:rPr>
            </w:pPr>
            <w:r w:rsidRPr="00752EC0">
              <w:rPr>
                <w:rFonts w:ascii="Arial Narrow" w:hAnsi="Arial Narrow" w:cs="Arial"/>
                <w:color w:val="000000"/>
                <w:sz w:val="20"/>
                <w:szCs w:val="20"/>
              </w:rPr>
              <w:t>100,00%</w:t>
            </w:r>
          </w:p>
        </w:tc>
        <w:tc>
          <w:tcPr>
            <w:tcW w:w="2130" w:type="dxa"/>
            <w:vMerge w:val="restart"/>
          </w:tcPr>
          <w:p w14:paraId="06A17584" w14:textId="688456E8" w:rsidR="00812A8C" w:rsidRPr="00752EC0" w:rsidRDefault="00812A8C" w:rsidP="00ED3499">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752EC0">
              <w:rPr>
                <w:rFonts w:ascii="Arial Narrow" w:hAnsi="Arial Narrow" w:cs="Calibri"/>
                <w:color w:val="000000"/>
                <w:sz w:val="20"/>
                <w:szCs w:val="20"/>
              </w:rPr>
              <w:t>Sistema de Gestión y Monitoreo de Actividades -SIGMA-, Unidad Inteligencia Financiera, ICD.</w:t>
            </w:r>
          </w:p>
        </w:tc>
      </w:tr>
      <w:tr w:rsidR="00812A8C" w:rsidRPr="00370D96" w14:paraId="50DFEBF3" w14:textId="77777777" w:rsidTr="00ED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1" w:type="dxa"/>
            <w:vMerge/>
          </w:tcPr>
          <w:p w14:paraId="7BEA32C6" w14:textId="77777777" w:rsidR="00812A8C" w:rsidRPr="00752EC0" w:rsidRDefault="00812A8C" w:rsidP="00ED3499">
            <w:pPr>
              <w:spacing w:before="60" w:after="60" w:line="240" w:lineRule="auto"/>
              <w:jc w:val="center"/>
              <w:rPr>
                <w:rFonts w:ascii="Arial Narrow" w:hAnsi="Arial Narrow" w:cs="Arial"/>
                <w:b w:val="0"/>
                <w:sz w:val="20"/>
                <w:szCs w:val="20"/>
                <w:lang w:val="es-ES_tradnl"/>
              </w:rPr>
            </w:pPr>
          </w:p>
        </w:tc>
        <w:tc>
          <w:tcPr>
            <w:cnfStyle w:val="000010000000" w:firstRow="0" w:lastRow="0" w:firstColumn="0" w:lastColumn="0" w:oddVBand="1" w:evenVBand="0" w:oddHBand="0" w:evenHBand="0" w:firstRowFirstColumn="0" w:firstRowLastColumn="0" w:lastRowFirstColumn="0" w:lastRowLastColumn="0"/>
            <w:tcW w:w="0" w:type="auto"/>
          </w:tcPr>
          <w:p w14:paraId="62AAE185" w14:textId="74E0035A" w:rsidR="00812A8C" w:rsidRPr="00752EC0" w:rsidRDefault="00812A8C" w:rsidP="00ED3499">
            <w:pPr>
              <w:spacing w:before="60" w:after="60" w:line="240" w:lineRule="auto"/>
              <w:jc w:val="center"/>
              <w:rPr>
                <w:rFonts w:ascii="Arial Narrow" w:hAnsi="Arial Narrow" w:cs="Arial"/>
                <w:sz w:val="20"/>
                <w:szCs w:val="20"/>
                <w:lang w:val="es-ES_tradnl"/>
              </w:rPr>
            </w:pPr>
            <w:r w:rsidRPr="00752EC0">
              <w:rPr>
                <w:rFonts w:ascii="Arial Narrow" w:hAnsi="Arial Narrow" w:cs="Arial"/>
                <w:sz w:val="20"/>
                <w:szCs w:val="20"/>
                <w:lang w:val="es-MX"/>
              </w:rPr>
              <w:t>Intervención realizada.</w:t>
            </w:r>
          </w:p>
        </w:tc>
        <w:tc>
          <w:tcPr>
            <w:tcW w:w="0" w:type="auto"/>
            <w:vAlign w:val="center"/>
          </w:tcPr>
          <w:p w14:paraId="509A9471" w14:textId="15FA09D4" w:rsidR="00812A8C" w:rsidRPr="00752EC0" w:rsidRDefault="00812A8C" w:rsidP="00ED3499">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s-ES_tradnl"/>
              </w:rPr>
            </w:pPr>
            <w:r w:rsidRPr="00752EC0">
              <w:rPr>
                <w:rFonts w:ascii="Arial Narrow" w:hAnsi="Arial Narrow" w:cs="Arial"/>
                <w:color w:val="000000"/>
                <w:sz w:val="20"/>
                <w:szCs w:val="20"/>
              </w:rPr>
              <w:t>1.261,00</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53D86D2" w14:textId="30B68779" w:rsidR="00812A8C" w:rsidRPr="00752EC0" w:rsidRDefault="00812A8C" w:rsidP="00ED3499">
            <w:pPr>
              <w:spacing w:before="60" w:after="60" w:line="240" w:lineRule="auto"/>
              <w:jc w:val="center"/>
              <w:rPr>
                <w:rFonts w:ascii="Arial Narrow" w:hAnsi="Arial Narrow" w:cs="Arial"/>
                <w:color w:val="000000"/>
                <w:sz w:val="20"/>
                <w:szCs w:val="20"/>
              </w:rPr>
            </w:pPr>
            <w:r w:rsidRPr="00752EC0">
              <w:rPr>
                <w:rFonts w:ascii="Arial Narrow" w:hAnsi="Arial Narrow" w:cs="Arial"/>
                <w:color w:val="000000"/>
                <w:sz w:val="20"/>
                <w:szCs w:val="20"/>
              </w:rPr>
              <w:t>1.220,00</w:t>
            </w:r>
          </w:p>
        </w:tc>
        <w:tc>
          <w:tcPr>
            <w:tcW w:w="0" w:type="auto"/>
            <w:vAlign w:val="center"/>
          </w:tcPr>
          <w:p w14:paraId="346A02FA" w14:textId="0FEE8B67" w:rsidR="00812A8C" w:rsidRPr="00752EC0" w:rsidRDefault="00812A8C" w:rsidP="00ED3499">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752EC0">
              <w:rPr>
                <w:rFonts w:ascii="Arial Narrow" w:hAnsi="Arial Narrow" w:cs="Arial"/>
                <w:color w:val="000000"/>
                <w:sz w:val="20"/>
                <w:szCs w:val="20"/>
              </w:rPr>
              <w:t>60,75%</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200FEBE" w14:textId="352F4DE9" w:rsidR="00812A8C" w:rsidRPr="00752EC0" w:rsidRDefault="00812A8C" w:rsidP="00ED3499">
            <w:pPr>
              <w:spacing w:before="60" w:after="60" w:line="240" w:lineRule="auto"/>
              <w:jc w:val="center"/>
              <w:rPr>
                <w:rFonts w:ascii="Arial Narrow" w:hAnsi="Arial Narrow" w:cs="Arial"/>
                <w:color w:val="000000"/>
                <w:sz w:val="20"/>
                <w:szCs w:val="20"/>
              </w:rPr>
            </w:pPr>
            <w:r w:rsidRPr="00752EC0">
              <w:rPr>
                <w:rFonts w:ascii="Arial Narrow" w:hAnsi="Arial Narrow" w:cs="Arial"/>
                <w:color w:val="000000"/>
                <w:sz w:val="20"/>
                <w:szCs w:val="20"/>
              </w:rPr>
              <w:t>96,75%</w:t>
            </w:r>
          </w:p>
        </w:tc>
        <w:tc>
          <w:tcPr>
            <w:tcW w:w="2130" w:type="dxa"/>
            <w:vMerge/>
          </w:tcPr>
          <w:p w14:paraId="5B39BBA1" w14:textId="557CBC9B" w:rsidR="00812A8C" w:rsidRPr="00752EC0" w:rsidRDefault="00812A8C" w:rsidP="00ED3499">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p>
        </w:tc>
      </w:tr>
      <w:tr w:rsidR="003962E4" w:rsidRPr="00370D96" w14:paraId="5D46846A" w14:textId="77777777" w:rsidTr="00ED3499">
        <w:tc>
          <w:tcPr>
            <w:cnfStyle w:val="001000000000" w:firstRow="0" w:lastRow="0" w:firstColumn="1" w:lastColumn="0" w:oddVBand="0" w:evenVBand="0" w:oddHBand="0" w:evenHBand="0" w:firstRowFirstColumn="0" w:firstRowLastColumn="0" w:lastRowFirstColumn="0" w:lastRowLastColumn="0"/>
            <w:tcW w:w="1681" w:type="dxa"/>
          </w:tcPr>
          <w:p w14:paraId="396BA8A9" w14:textId="1735846D" w:rsidR="003962E4" w:rsidRPr="00752EC0" w:rsidRDefault="003962E4" w:rsidP="00ED3499">
            <w:pPr>
              <w:spacing w:before="60" w:after="60" w:line="240" w:lineRule="auto"/>
              <w:jc w:val="center"/>
              <w:rPr>
                <w:rFonts w:ascii="Arial Narrow" w:hAnsi="Arial Narrow" w:cs="Arial"/>
                <w:b w:val="0"/>
                <w:sz w:val="20"/>
                <w:szCs w:val="20"/>
                <w:lang w:val="es-ES_tradnl"/>
              </w:rPr>
            </w:pPr>
            <w:r w:rsidRPr="00752EC0">
              <w:rPr>
                <w:rFonts w:ascii="Arial Narrow" w:hAnsi="Arial Narrow" w:cs="Arial"/>
                <w:b w:val="0"/>
                <w:bCs w:val="0"/>
                <w:sz w:val="20"/>
                <w:szCs w:val="20"/>
                <w:lang w:val="es-MX"/>
              </w:rPr>
              <w:t>PF. 03. Control y fiscalización del uso y destino de sustancia</w:t>
            </w:r>
            <w:r w:rsidRPr="00752EC0">
              <w:rPr>
                <w:rFonts w:ascii="Arial Narrow" w:hAnsi="Arial Narrow" w:cs="Arial"/>
                <w:b w:val="0"/>
                <w:sz w:val="20"/>
                <w:szCs w:val="20"/>
                <w:lang w:val="es-ES_tradnl"/>
              </w:rPr>
              <w:t>s</w:t>
            </w:r>
          </w:p>
        </w:tc>
        <w:tc>
          <w:tcPr>
            <w:cnfStyle w:val="000010000000" w:firstRow="0" w:lastRow="0" w:firstColumn="0" w:lastColumn="0" w:oddVBand="1" w:evenVBand="0" w:oddHBand="0" w:evenHBand="0" w:firstRowFirstColumn="0" w:firstRowLastColumn="0" w:lastRowFirstColumn="0" w:lastRowLastColumn="0"/>
            <w:tcW w:w="0" w:type="auto"/>
          </w:tcPr>
          <w:p w14:paraId="72323DFF" w14:textId="50ED8D87" w:rsidR="003962E4" w:rsidRPr="00752EC0" w:rsidRDefault="003962E4" w:rsidP="00ED3499">
            <w:pPr>
              <w:spacing w:before="60" w:after="60" w:line="240" w:lineRule="auto"/>
              <w:jc w:val="center"/>
              <w:rPr>
                <w:rFonts w:ascii="Arial Narrow" w:hAnsi="Arial Narrow" w:cs="Arial"/>
                <w:sz w:val="20"/>
                <w:szCs w:val="20"/>
                <w:lang w:val="es-ES_tradnl"/>
              </w:rPr>
            </w:pPr>
            <w:r w:rsidRPr="00752EC0">
              <w:rPr>
                <w:rFonts w:ascii="Arial Narrow" w:hAnsi="Arial Narrow" w:cs="Arial"/>
                <w:sz w:val="20"/>
                <w:szCs w:val="20"/>
                <w:lang w:val="es-MX"/>
              </w:rPr>
              <w:t>Trámite atendido.</w:t>
            </w:r>
          </w:p>
        </w:tc>
        <w:tc>
          <w:tcPr>
            <w:tcW w:w="0" w:type="auto"/>
            <w:vAlign w:val="center"/>
          </w:tcPr>
          <w:p w14:paraId="0C816157" w14:textId="3457D95E" w:rsidR="003962E4" w:rsidRPr="00752EC0" w:rsidRDefault="003962E4" w:rsidP="00ED3499">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val="es-ES_tradnl"/>
              </w:rPr>
            </w:pPr>
            <w:r w:rsidRPr="00752EC0">
              <w:rPr>
                <w:rFonts w:ascii="Arial Narrow" w:hAnsi="Arial Narrow" w:cs="Arial"/>
                <w:color w:val="000000"/>
                <w:sz w:val="20"/>
                <w:szCs w:val="20"/>
              </w:rPr>
              <w:t>9.704,00</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A800A44" w14:textId="5BCF8278" w:rsidR="003962E4" w:rsidRPr="00752EC0" w:rsidRDefault="007A760F" w:rsidP="00ED3499">
            <w:pPr>
              <w:spacing w:before="60" w:after="60" w:line="240" w:lineRule="auto"/>
              <w:jc w:val="center"/>
              <w:rPr>
                <w:rFonts w:ascii="Arial Narrow" w:hAnsi="Arial Narrow" w:cs="Arial"/>
                <w:color w:val="000000"/>
                <w:sz w:val="20"/>
                <w:szCs w:val="20"/>
              </w:rPr>
            </w:pPr>
            <w:r w:rsidRPr="00752EC0">
              <w:rPr>
                <w:rFonts w:ascii="Arial Narrow" w:hAnsi="Arial Narrow" w:cs="Arial"/>
                <w:color w:val="000000"/>
                <w:sz w:val="20"/>
                <w:szCs w:val="20"/>
              </w:rPr>
              <w:t>10.018,00</w:t>
            </w:r>
          </w:p>
        </w:tc>
        <w:tc>
          <w:tcPr>
            <w:tcW w:w="0" w:type="auto"/>
            <w:vAlign w:val="center"/>
          </w:tcPr>
          <w:p w14:paraId="7D16AD5D" w14:textId="7173D147" w:rsidR="003962E4" w:rsidRPr="00752EC0" w:rsidRDefault="00785EF7" w:rsidP="00ED3499">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bookmarkStart w:id="69" w:name="_Hlk76644926"/>
            <w:r w:rsidRPr="00752EC0">
              <w:rPr>
                <w:rFonts w:ascii="Arial Narrow" w:hAnsi="Arial Narrow" w:cs="Arial"/>
                <w:color w:val="000000"/>
                <w:sz w:val="20"/>
                <w:szCs w:val="20"/>
              </w:rPr>
              <w:t>49,41%</w:t>
            </w:r>
            <w:bookmarkEnd w:id="69"/>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A05C0BE" w14:textId="6B368277" w:rsidR="003962E4" w:rsidRPr="00752EC0" w:rsidRDefault="007A760F" w:rsidP="00ED3499">
            <w:pPr>
              <w:spacing w:before="60" w:after="60" w:line="240" w:lineRule="auto"/>
              <w:jc w:val="center"/>
              <w:rPr>
                <w:rFonts w:ascii="Arial Narrow" w:hAnsi="Arial Narrow" w:cs="Arial"/>
                <w:color w:val="000000"/>
                <w:sz w:val="20"/>
                <w:szCs w:val="20"/>
              </w:rPr>
            </w:pPr>
            <w:r w:rsidRPr="00752EC0">
              <w:rPr>
                <w:rFonts w:ascii="Arial Narrow" w:hAnsi="Arial Narrow" w:cs="Arial"/>
                <w:color w:val="000000"/>
                <w:sz w:val="20"/>
                <w:szCs w:val="20"/>
              </w:rPr>
              <w:t>103,24%</w:t>
            </w:r>
          </w:p>
        </w:tc>
        <w:tc>
          <w:tcPr>
            <w:tcW w:w="2130" w:type="dxa"/>
          </w:tcPr>
          <w:p w14:paraId="79C031E1" w14:textId="5EA1B93C" w:rsidR="003962E4" w:rsidRPr="00752EC0" w:rsidRDefault="00EE03F1" w:rsidP="00ED3499">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752EC0">
              <w:rPr>
                <w:rFonts w:ascii="Arial Narrow" w:hAnsi="Arial Narrow" w:cs="Calibri"/>
                <w:color w:val="000000"/>
                <w:sz w:val="20"/>
                <w:szCs w:val="20"/>
              </w:rPr>
              <w:t>Sistema de Gestión y Monitoreo de Actividades -SIGMA-, Unidad Control y Fiscalización de Precursores, ICD.</w:t>
            </w:r>
          </w:p>
        </w:tc>
      </w:tr>
      <w:tr w:rsidR="00DB672A" w:rsidRPr="00370D96" w14:paraId="167FD69E" w14:textId="77777777" w:rsidTr="00BC0A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1" w:type="dxa"/>
          </w:tcPr>
          <w:p w14:paraId="7552C420" w14:textId="7B25F9C6" w:rsidR="00DB672A" w:rsidRPr="00752EC0" w:rsidRDefault="00DB672A" w:rsidP="00ED3499">
            <w:pPr>
              <w:spacing w:before="60" w:after="60" w:line="240" w:lineRule="auto"/>
              <w:jc w:val="center"/>
              <w:rPr>
                <w:rFonts w:ascii="Arial Narrow" w:hAnsi="Arial Narrow" w:cs="Arial"/>
                <w:b w:val="0"/>
                <w:sz w:val="20"/>
                <w:szCs w:val="20"/>
                <w:lang w:val="es-ES_tradnl"/>
              </w:rPr>
            </w:pPr>
            <w:r w:rsidRPr="00752EC0">
              <w:rPr>
                <w:rFonts w:ascii="Arial Narrow" w:hAnsi="Arial Narrow" w:cs="Arial"/>
                <w:b w:val="0"/>
                <w:bCs w:val="0"/>
                <w:sz w:val="20"/>
                <w:szCs w:val="20"/>
                <w:lang w:val="es-MX"/>
              </w:rPr>
              <w:t>PF. 04. Asistencia a organizaciones gubernamentales y no gubernamentales.</w:t>
            </w:r>
          </w:p>
        </w:tc>
        <w:tc>
          <w:tcPr>
            <w:cnfStyle w:val="000010000000" w:firstRow="0" w:lastRow="0" w:firstColumn="0" w:lastColumn="0" w:oddVBand="1" w:evenVBand="0" w:oddHBand="0" w:evenHBand="0" w:firstRowFirstColumn="0" w:firstRowLastColumn="0" w:lastRowFirstColumn="0" w:lastRowLastColumn="0"/>
            <w:tcW w:w="0" w:type="auto"/>
          </w:tcPr>
          <w:p w14:paraId="033AF5DE" w14:textId="445B5B5F" w:rsidR="00DB672A" w:rsidRPr="00752EC0" w:rsidRDefault="00DB672A" w:rsidP="00ED3499">
            <w:pPr>
              <w:spacing w:before="60" w:after="60" w:line="240" w:lineRule="auto"/>
              <w:jc w:val="center"/>
              <w:rPr>
                <w:rFonts w:ascii="Arial Narrow" w:hAnsi="Arial Narrow" w:cs="Arial"/>
                <w:sz w:val="20"/>
                <w:szCs w:val="20"/>
                <w:lang w:val="es-ES_tradnl"/>
              </w:rPr>
            </w:pPr>
            <w:r w:rsidRPr="00752EC0">
              <w:rPr>
                <w:rFonts w:ascii="Arial Narrow" w:hAnsi="Arial Narrow" w:cs="Arial"/>
                <w:sz w:val="20"/>
                <w:szCs w:val="20"/>
                <w:lang w:val="es-MX"/>
              </w:rPr>
              <w:t>Asesoría brindada.</w:t>
            </w:r>
          </w:p>
        </w:tc>
        <w:tc>
          <w:tcPr>
            <w:tcW w:w="0" w:type="auto"/>
            <w:shd w:val="clear" w:color="auto" w:fill="auto"/>
            <w:vAlign w:val="center"/>
          </w:tcPr>
          <w:p w14:paraId="07F6EB0B" w14:textId="293AAC56" w:rsidR="00DB672A" w:rsidRPr="00BC0A35" w:rsidRDefault="00DB672A" w:rsidP="00ED3499">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s-ES_tradnl"/>
              </w:rPr>
            </w:pPr>
            <w:r w:rsidRPr="00BC0A35">
              <w:rPr>
                <w:rFonts w:ascii="Arial Narrow" w:hAnsi="Arial Narrow" w:cs="Arial"/>
                <w:color w:val="000000"/>
                <w:sz w:val="20"/>
                <w:szCs w:val="20"/>
              </w:rPr>
              <w:t>81,00</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26A3AA9D" w14:textId="29AF64C9" w:rsidR="00DB672A" w:rsidRPr="00BC0A35" w:rsidRDefault="00DB672A" w:rsidP="00ED3499">
            <w:pPr>
              <w:spacing w:before="60" w:after="60" w:line="240" w:lineRule="auto"/>
              <w:jc w:val="center"/>
              <w:rPr>
                <w:rFonts w:ascii="Arial Narrow" w:hAnsi="Arial Narrow" w:cs="Arial"/>
                <w:color w:val="000000"/>
                <w:sz w:val="20"/>
                <w:szCs w:val="20"/>
              </w:rPr>
            </w:pPr>
            <w:r w:rsidRPr="00BC0A35">
              <w:rPr>
                <w:rFonts w:ascii="Arial Narrow" w:hAnsi="Arial Narrow" w:cs="Arial"/>
                <w:color w:val="000000"/>
                <w:sz w:val="20"/>
                <w:szCs w:val="20"/>
              </w:rPr>
              <w:t>3</w:t>
            </w:r>
            <w:r w:rsidR="00BC0A35" w:rsidRPr="00BC0A35">
              <w:rPr>
                <w:rFonts w:ascii="Arial Narrow" w:hAnsi="Arial Narrow" w:cs="Arial"/>
                <w:color w:val="000000"/>
                <w:sz w:val="20"/>
                <w:szCs w:val="20"/>
              </w:rPr>
              <w:t>58</w:t>
            </w:r>
          </w:p>
        </w:tc>
        <w:tc>
          <w:tcPr>
            <w:tcW w:w="0" w:type="auto"/>
            <w:shd w:val="clear" w:color="auto" w:fill="auto"/>
            <w:vAlign w:val="center"/>
          </w:tcPr>
          <w:p w14:paraId="6FD51A8C" w14:textId="2E377450" w:rsidR="00DB672A" w:rsidRPr="00BC0A35" w:rsidRDefault="00DB672A" w:rsidP="00ED3499">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BC0A35">
              <w:rPr>
                <w:rFonts w:ascii="Arial Narrow" w:hAnsi="Arial Narrow" w:cs="Arial"/>
                <w:color w:val="000000"/>
                <w:sz w:val="20"/>
                <w:szCs w:val="20"/>
              </w:rPr>
              <w:t>228,40%</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vAlign w:val="center"/>
          </w:tcPr>
          <w:p w14:paraId="5D684F6D" w14:textId="1C270252" w:rsidR="00DB672A" w:rsidRPr="00BC0A35" w:rsidRDefault="00B475E0" w:rsidP="00ED3499">
            <w:pPr>
              <w:spacing w:before="60" w:after="60" w:line="240" w:lineRule="auto"/>
              <w:jc w:val="center"/>
              <w:rPr>
                <w:rFonts w:ascii="Arial Narrow" w:hAnsi="Arial Narrow" w:cs="Arial"/>
                <w:color w:val="000000"/>
                <w:sz w:val="20"/>
                <w:szCs w:val="20"/>
              </w:rPr>
            </w:pPr>
            <w:r w:rsidRPr="00BC0A35">
              <w:rPr>
                <w:rFonts w:ascii="Arial Narrow" w:hAnsi="Arial Narrow" w:cs="Arial"/>
                <w:color w:val="000000"/>
                <w:sz w:val="20"/>
                <w:szCs w:val="20"/>
              </w:rPr>
              <w:t>4</w:t>
            </w:r>
            <w:r w:rsidR="00FF7F9B" w:rsidRPr="00BC0A35">
              <w:rPr>
                <w:rFonts w:ascii="Arial Narrow" w:hAnsi="Arial Narrow" w:cs="Arial"/>
                <w:color w:val="000000"/>
                <w:sz w:val="20"/>
                <w:szCs w:val="20"/>
              </w:rPr>
              <w:t>41</w:t>
            </w:r>
            <w:r w:rsidRPr="00BC0A35">
              <w:rPr>
                <w:rFonts w:ascii="Arial Narrow" w:hAnsi="Arial Narrow" w:cs="Arial"/>
                <w:color w:val="000000"/>
                <w:sz w:val="20"/>
                <w:szCs w:val="20"/>
              </w:rPr>
              <w:t>,</w:t>
            </w:r>
            <w:r w:rsidR="00BC0A35" w:rsidRPr="00BC0A35">
              <w:rPr>
                <w:rFonts w:ascii="Arial Narrow" w:hAnsi="Arial Narrow" w:cs="Arial"/>
                <w:color w:val="000000"/>
                <w:sz w:val="20"/>
                <w:szCs w:val="20"/>
              </w:rPr>
              <w:t>98</w:t>
            </w:r>
            <w:r w:rsidRPr="00BC0A35">
              <w:rPr>
                <w:rFonts w:ascii="Arial Narrow" w:hAnsi="Arial Narrow" w:cs="Arial"/>
                <w:color w:val="000000"/>
                <w:sz w:val="20"/>
                <w:szCs w:val="20"/>
              </w:rPr>
              <w:t>%</w:t>
            </w:r>
          </w:p>
        </w:tc>
        <w:tc>
          <w:tcPr>
            <w:tcW w:w="2130" w:type="dxa"/>
          </w:tcPr>
          <w:p w14:paraId="05BBF3AD" w14:textId="7DFC1218" w:rsidR="00DB672A" w:rsidRPr="00752EC0" w:rsidRDefault="00EE03F1" w:rsidP="00ED3499">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752EC0">
              <w:rPr>
                <w:rFonts w:ascii="Arial Narrow" w:hAnsi="Arial Narrow" w:cs="Calibri"/>
                <w:color w:val="000000"/>
                <w:sz w:val="20"/>
                <w:szCs w:val="20"/>
              </w:rPr>
              <w:t>Sistema de Gestión y Monitoreo de Actividades -SIGMA</w:t>
            </w:r>
            <w:r w:rsidR="00A77A72">
              <w:rPr>
                <w:rFonts w:ascii="Arial Narrow" w:hAnsi="Arial Narrow" w:cs="Calibri"/>
                <w:color w:val="000000"/>
                <w:sz w:val="20"/>
                <w:szCs w:val="20"/>
              </w:rPr>
              <w:t>-</w:t>
            </w:r>
            <w:r w:rsidRPr="00752EC0">
              <w:rPr>
                <w:rFonts w:ascii="Arial Narrow" w:hAnsi="Arial Narrow" w:cs="Calibri"/>
                <w:color w:val="000000"/>
                <w:sz w:val="20"/>
                <w:szCs w:val="20"/>
              </w:rPr>
              <w:t>, Unidad Proyectos de Prevención, ICD.</w:t>
            </w:r>
          </w:p>
        </w:tc>
      </w:tr>
      <w:tr w:rsidR="009A1222" w:rsidRPr="00370D96" w14:paraId="52FDB5B3" w14:textId="77777777" w:rsidTr="00ED3499">
        <w:tc>
          <w:tcPr>
            <w:cnfStyle w:val="001000000000" w:firstRow="0" w:lastRow="0" w:firstColumn="1" w:lastColumn="0" w:oddVBand="0" w:evenVBand="0" w:oddHBand="0" w:evenHBand="0" w:firstRowFirstColumn="0" w:firstRowLastColumn="0" w:lastRowFirstColumn="0" w:lastRowLastColumn="0"/>
            <w:tcW w:w="1681" w:type="dxa"/>
          </w:tcPr>
          <w:p w14:paraId="6D4CB207" w14:textId="7AEC1943" w:rsidR="009A1222" w:rsidRPr="00752EC0" w:rsidRDefault="009A1222" w:rsidP="00ED3499">
            <w:pPr>
              <w:spacing w:before="60" w:after="60" w:line="240" w:lineRule="auto"/>
              <w:jc w:val="center"/>
              <w:rPr>
                <w:rFonts w:ascii="Arial Narrow" w:hAnsi="Arial Narrow" w:cs="Arial"/>
                <w:b w:val="0"/>
                <w:sz w:val="20"/>
                <w:szCs w:val="20"/>
              </w:rPr>
            </w:pPr>
            <w:r w:rsidRPr="00752EC0">
              <w:rPr>
                <w:rFonts w:ascii="Arial Narrow" w:hAnsi="Arial Narrow" w:cs="Arial"/>
                <w:b w:val="0"/>
                <w:bCs w:val="0"/>
                <w:sz w:val="20"/>
                <w:szCs w:val="20"/>
                <w:lang w:val="es-MX"/>
              </w:rPr>
              <w:t>PI. 01.01. Conducción, administración y soporte del ICD.</w:t>
            </w:r>
          </w:p>
        </w:tc>
        <w:tc>
          <w:tcPr>
            <w:cnfStyle w:val="000010000000" w:firstRow="0" w:lastRow="0" w:firstColumn="0" w:lastColumn="0" w:oddVBand="1" w:evenVBand="0" w:oddHBand="0" w:evenHBand="0" w:firstRowFirstColumn="0" w:firstRowLastColumn="0" w:lastRowFirstColumn="0" w:lastRowLastColumn="0"/>
            <w:tcW w:w="0" w:type="auto"/>
          </w:tcPr>
          <w:p w14:paraId="3256B373" w14:textId="7FCD117E" w:rsidR="009A1222" w:rsidRPr="00752EC0" w:rsidRDefault="009A1222" w:rsidP="00ED3499">
            <w:pPr>
              <w:spacing w:before="60" w:after="60" w:line="240" w:lineRule="auto"/>
              <w:jc w:val="center"/>
              <w:rPr>
                <w:rFonts w:ascii="Arial Narrow" w:hAnsi="Arial Narrow" w:cs="Arial"/>
                <w:sz w:val="20"/>
                <w:szCs w:val="20"/>
                <w:lang w:val="es-ES_tradnl"/>
              </w:rPr>
            </w:pPr>
            <w:r w:rsidRPr="00752EC0">
              <w:rPr>
                <w:rFonts w:ascii="Arial Narrow" w:hAnsi="Arial Narrow" w:cs="Arial"/>
                <w:sz w:val="20"/>
                <w:szCs w:val="20"/>
                <w:lang w:val="es-MX"/>
              </w:rPr>
              <w:t>Gestión realizada.</w:t>
            </w:r>
          </w:p>
        </w:tc>
        <w:tc>
          <w:tcPr>
            <w:tcW w:w="0" w:type="auto"/>
            <w:vAlign w:val="center"/>
          </w:tcPr>
          <w:p w14:paraId="432F14D3" w14:textId="4AF23A21" w:rsidR="009A1222" w:rsidRPr="00752EC0" w:rsidRDefault="009A1222" w:rsidP="00ED3499">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val="es-ES_tradnl"/>
              </w:rPr>
            </w:pPr>
            <w:r w:rsidRPr="00752EC0">
              <w:rPr>
                <w:rFonts w:ascii="Arial Narrow" w:hAnsi="Arial Narrow" w:cs="Arial"/>
                <w:color w:val="000000"/>
                <w:sz w:val="20"/>
                <w:szCs w:val="20"/>
              </w:rPr>
              <w:t>2.607,00</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03EB886" w14:textId="05B28B27" w:rsidR="009A1222" w:rsidRPr="00752EC0" w:rsidRDefault="00A454DE" w:rsidP="00ED3499">
            <w:pPr>
              <w:spacing w:before="60" w:after="60" w:line="240" w:lineRule="auto"/>
              <w:jc w:val="center"/>
              <w:rPr>
                <w:rFonts w:ascii="Arial Narrow" w:hAnsi="Arial Narrow" w:cs="Arial"/>
                <w:sz w:val="20"/>
                <w:szCs w:val="20"/>
                <w:lang w:val="es-ES_tradnl"/>
              </w:rPr>
            </w:pPr>
            <w:r w:rsidRPr="00752EC0">
              <w:rPr>
                <w:rFonts w:ascii="Arial Narrow" w:hAnsi="Arial Narrow" w:cs="Calibri"/>
                <w:color w:val="000000"/>
                <w:sz w:val="20"/>
                <w:szCs w:val="20"/>
              </w:rPr>
              <w:t>3.085,00</w:t>
            </w:r>
          </w:p>
        </w:tc>
        <w:tc>
          <w:tcPr>
            <w:tcW w:w="0" w:type="auto"/>
            <w:vAlign w:val="center"/>
          </w:tcPr>
          <w:p w14:paraId="0139A64E" w14:textId="6A2903E7" w:rsidR="009A1222" w:rsidRPr="00752EC0" w:rsidRDefault="009A1222" w:rsidP="00ED3499">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val="es-ES_tradnl"/>
              </w:rPr>
            </w:pPr>
            <w:r w:rsidRPr="00752EC0">
              <w:rPr>
                <w:rFonts w:ascii="Arial Narrow" w:hAnsi="Arial Narrow" w:cs="Arial"/>
                <w:color w:val="000000"/>
                <w:sz w:val="20"/>
                <w:szCs w:val="20"/>
              </w:rPr>
              <w:t>59,76%</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BADA59A" w14:textId="34FC57B0" w:rsidR="009A1222" w:rsidRPr="00752EC0" w:rsidRDefault="00A454DE" w:rsidP="00ED3499">
            <w:pPr>
              <w:spacing w:before="60" w:after="60" w:line="240" w:lineRule="auto"/>
              <w:jc w:val="center"/>
              <w:rPr>
                <w:rFonts w:ascii="Arial Narrow" w:hAnsi="Arial Narrow" w:cs="Calibri"/>
                <w:color w:val="000000"/>
                <w:sz w:val="20"/>
                <w:szCs w:val="20"/>
              </w:rPr>
            </w:pPr>
            <w:r w:rsidRPr="00752EC0">
              <w:rPr>
                <w:rFonts w:ascii="Arial Narrow" w:hAnsi="Arial Narrow" w:cs="Calibri"/>
                <w:color w:val="000000"/>
                <w:sz w:val="20"/>
                <w:szCs w:val="20"/>
              </w:rPr>
              <w:t>118,34%</w:t>
            </w:r>
          </w:p>
        </w:tc>
        <w:tc>
          <w:tcPr>
            <w:tcW w:w="2130" w:type="dxa"/>
          </w:tcPr>
          <w:p w14:paraId="6FB6CDAF" w14:textId="59EFDE6A" w:rsidR="009A1222" w:rsidRPr="00752EC0" w:rsidRDefault="00EE03F1" w:rsidP="00ED3499">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752EC0">
              <w:rPr>
                <w:rFonts w:ascii="Arial Narrow" w:hAnsi="Arial Narrow" w:cs="Calibri"/>
                <w:color w:val="000000"/>
                <w:sz w:val="20"/>
                <w:szCs w:val="20"/>
              </w:rPr>
              <w:t>Sistema de Gestión y Monitoreo de Actividades -SIGMA</w:t>
            </w:r>
            <w:r w:rsidR="00A77A72">
              <w:rPr>
                <w:rFonts w:ascii="Arial Narrow" w:hAnsi="Arial Narrow" w:cs="Calibri"/>
                <w:color w:val="000000"/>
                <w:sz w:val="20"/>
                <w:szCs w:val="20"/>
              </w:rPr>
              <w:t>-</w:t>
            </w:r>
            <w:r w:rsidRPr="00752EC0">
              <w:rPr>
                <w:rFonts w:ascii="Arial Narrow" w:hAnsi="Arial Narrow" w:cs="Calibri"/>
                <w:color w:val="000000"/>
                <w:sz w:val="20"/>
                <w:szCs w:val="20"/>
              </w:rPr>
              <w:t>, Unidad Administrativo Financiero, ICD.</w:t>
            </w:r>
          </w:p>
        </w:tc>
      </w:tr>
      <w:tr w:rsidR="009A1222" w:rsidRPr="00370D96" w14:paraId="13C25008" w14:textId="77777777" w:rsidTr="00ED3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1" w:type="dxa"/>
          </w:tcPr>
          <w:p w14:paraId="3AE5778A" w14:textId="4E9214C0" w:rsidR="009A1222" w:rsidRPr="00752EC0" w:rsidRDefault="009A1222" w:rsidP="00ED3499">
            <w:pPr>
              <w:spacing w:before="60" w:after="60" w:line="240" w:lineRule="auto"/>
              <w:jc w:val="center"/>
              <w:rPr>
                <w:rFonts w:ascii="Arial Narrow" w:hAnsi="Arial Narrow" w:cs="Arial"/>
                <w:b w:val="0"/>
                <w:sz w:val="20"/>
                <w:szCs w:val="20"/>
              </w:rPr>
            </w:pPr>
            <w:r w:rsidRPr="00752EC0">
              <w:rPr>
                <w:rFonts w:ascii="Arial Narrow" w:hAnsi="Arial Narrow" w:cs="Arial"/>
                <w:b w:val="0"/>
                <w:bCs w:val="0"/>
                <w:sz w:val="20"/>
                <w:szCs w:val="20"/>
                <w:lang w:val="es-MX"/>
              </w:rPr>
              <w:t>PI.02.01 Producción de conocimiento estratégico sobre drogas.</w:t>
            </w:r>
          </w:p>
        </w:tc>
        <w:tc>
          <w:tcPr>
            <w:cnfStyle w:val="000010000000" w:firstRow="0" w:lastRow="0" w:firstColumn="0" w:lastColumn="0" w:oddVBand="1" w:evenVBand="0" w:oddHBand="0" w:evenHBand="0" w:firstRowFirstColumn="0" w:firstRowLastColumn="0" w:lastRowFirstColumn="0" w:lastRowLastColumn="0"/>
            <w:tcW w:w="0" w:type="auto"/>
          </w:tcPr>
          <w:p w14:paraId="1027B9FC" w14:textId="792501A3" w:rsidR="009A1222" w:rsidRPr="00752EC0" w:rsidRDefault="009A1222" w:rsidP="00ED3499">
            <w:pPr>
              <w:spacing w:before="60" w:after="60" w:line="240" w:lineRule="auto"/>
              <w:jc w:val="center"/>
              <w:rPr>
                <w:rFonts w:ascii="Arial Narrow" w:hAnsi="Arial Narrow" w:cs="Arial"/>
                <w:sz w:val="20"/>
                <w:szCs w:val="20"/>
                <w:lang w:val="es-ES_tradnl"/>
              </w:rPr>
            </w:pPr>
            <w:r w:rsidRPr="00752EC0">
              <w:rPr>
                <w:rFonts w:ascii="Arial Narrow" w:hAnsi="Arial Narrow" w:cs="Arial"/>
                <w:sz w:val="20"/>
                <w:szCs w:val="20"/>
                <w:lang w:val="es-MX"/>
              </w:rPr>
              <w:t>Documento emitido.</w:t>
            </w:r>
          </w:p>
        </w:tc>
        <w:tc>
          <w:tcPr>
            <w:tcW w:w="0" w:type="auto"/>
            <w:vAlign w:val="center"/>
          </w:tcPr>
          <w:p w14:paraId="5F16ABA5" w14:textId="49ACEA7D" w:rsidR="009A1222" w:rsidRPr="00752EC0" w:rsidRDefault="009A1222" w:rsidP="00ED3499">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s-ES_tradnl"/>
              </w:rPr>
            </w:pPr>
            <w:r w:rsidRPr="00752EC0">
              <w:rPr>
                <w:rFonts w:ascii="Arial Narrow" w:hAnsi="Arial Narrow" w:cs="Arial"/>
                <w:sz w:val="20"/>
                <w:szCs w:val="20"/>
                <w:lang w:val="es-MX"/>
              </w:rPr>
              <w:t>18,00</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3C3D481" w14:textId="16BCC60F" w:rsidR="009A1222" w:rsidRPr="00752EC0" w:rsidRDefault="00A849BB" w:rsidP="00ED3499">
            <w:pPr>
              <w:spacing w:before="60" w:after="60" w:line="240" w:lineRule="auto"/>
              <w:jc w:val="center"/>
              <w:rPr>
                <w:rFonts w:ascii="Arial Narrow" w:hAnsi="Arial Narrow" w:cs="Arial"/>
                <w:sz w:val="20"/>
                <w:szCs w:val="20"/>
                <w:lang w:val="es-ES_tradnl"/>
              </w:rPr>
            </w:pPr>
            <w:r w:rsidRPr="00752EC0">
              <w:rPr>
                <w:rFonts w:ascii="Arial Narrow" w:hAnsi="Arial Narrow" w:cs="Arial"/>
                <w:sz w:val="20"/>
                <w:szCs w:val="20"/>
                <w:lang w:val="es-ES_tradnl"/>
              </w:rPr>
              <w:t>15,00</w:t>
            </w:r>
          </w:p>
        </w:tc>
        <w:tc>
          <w:tcPr>
            <w:tcW w:w="0" w:type="auto"/>
            <w:vAlign w:val="center"/>
          </w:tcPr>
          <w:p w14:paraId="0ABBFA23" w14:textId="4287B618" w:rsidR="009A1222" w:rsidRPr="00752EC0" w:rsidRDefault="009A1222" w:rsidP="00ED3499">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val="es-ES_tradnl"/>
              </w:rPr>
            </w:pPr>
            <w:r w:rsidRPr="00752EC0">
              <w:rPr>
                <w:rFonts w:ascii="Arial Narrow" w:hAnsi="Arial Narrow" w:cs="Arial"/>
                <w:sz w:val="20"/>
                <w:szCs w:val="20"/>
                <w:lang w:val="es-MX"/>
              </w:rPr>
              <w:t>33,33%</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877B6B4" w14:textId="28A8DC78" w:rsidR="009A1222" w:rsidRPr="00752EC0" w:rsidRDefault="00A849BB" w:rsidP="00ED3499">
            <w:pPr>
              <w:spacing w:before="60" w:after="60" w:line="240" w:lineRule="auto"/>
              <w:jc w:val="center"/>
              <w:rPr>
                <w:rFonts w:ascii="Arial Narrow" w:hAnsi="Arial Narrow" w:cs="Arial"/>
                <w:sz w:val="20"/>
                <w:szCs w:val="20"/>
                <w:lang w:val="es-ES_tradnl"/>
              </w:rPr>
            </w:pPr>
            <w:r w:rsidRPr="00752EC0">
              <w:rPr>
                <w:rFonts w:ascii="Arial Narrow" w:hAnsi="Arial Narrow" w:cs="Arial"/>
                <w:sz w:val="20"/>
                <w:szCs w:val="20"/>
                <w:lang w:val="es-ES_tradnl"/>
              </w:rPr>
              <w:t>83,33%</w:t>
            </w:r>
          </w:p>
        </w:tc>
        <w:tc>
          <w:tcPr>
            <w:tcW w:w="2130" w:type="dxa"/>
          </w:tcPr>
          <w:p w14:paraId="53A8F4C0" w14:textId="4FA41550" w:rsidR="009A1222" w:rsidRPr="00752EC0" w:rsidRDefault="00EE03F1" w:rsidP="00ED3499">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752EC0">
              <w:rPr>
                <w:rFonts w:ascii="Arial Narrow" w:hAnsi="Arial Narrow" w:cs="Calibri"/>
                <w:color w:val="000000"/>
                <w:sz w:val="20"/>
                <w:szCs w:val="20"/>
              </w:rPr>
              <w:t>Sistema de Gestión y Monitoreo de Actividades -SIGMA-, Unidad Información y Estadística, ICD.</w:t>
            </w:r>
          </w:p>
        </w:tc>
      </w:tr>
      <w:tr w:rsidR="009A1222" w:rsidRPr="00370D96" w14:paraId="65452F34" w14:textId="77777777" w:rsidTr="00ED3499">
        <w:tc>
          <w:tcPr>
            <w:cnfStyle w:val="001000000000" w:firstRow="0" w:lastRow="0" w:firstColumn="1" w:lastColumn="0" w:oddVBand="0" w:evenVBand="0" w:oddHBand="0" w:evenHBand="0" w:firstRowFirstColumn="0" w:firstRowLastColumn="0" w:lastRowFirstColumn="0" w:lastRowLastColumn="0"/>
            <w:tcW w:w="1681" w:type="dxa"/>
          </w:tcPr>
          <w:p w14:paraId="58FAB0D4" w14:textId="5532FBDD" w:rsidR="009A1222" w:rsidRPr="00752EC0" w:rsidRDefault="009A1222" w:rsidP="00ED3499">
            <w:pPr>
              <w:spacing w:before="60" w:after="60" w:line="240" w:lineRule="auto"/>
              <w:jc w:val="center"/>
              <w:rPr>
                <w:rFonts w:ascii="Arial Narrow" w:hAnsi="Arial Narrow" w:cs="Arial"/>
                <w:b w:val="0"/>
                <w:sz w:val="20"/>
                <w:szCs w:val="20"/>
              </w:rPr>
            </w:pPr>
            <w:r w:rsidRPr="00752EC0">
              <w:rPr>
                <w:rFonts w:ascii="Arial Narrow" w:hAnsi="Arial Narrow" w:cs="Arial"/>
                <w:b w:val="0"/>
                <w:bCs w:val="0"/>
                <w:sz w:val="20"/>
                <w:szCs w:val="20"/>
                <w:lang w:val="es-MX"/>
              </w:rPr>
              <w:t>PI.03.01 Atención a consultas para investigaciones policiales.</w:t>
            </w:r>
          </w:p>
        </w:tc>
        <w:tc>
          <w:tcPr>
            <w:cnfStyle w:val="000010000000" w:firstRow="0" w:lastRow="0" w:firstColumn="0" w:lastColumn="0" w:oddVBand="1" w:evenVBand="0" w:oddHBand="0" w:evenHBand="0" w:firstRowFirstColumn="0" w:firstRowLastColumn="0" w:lastRowFirstColumn="0" w:lastRowLastColumn="0"/>
            <w:tcW w:w="0" w:type="auto"/>
          </w:tcPr>
          <w:p w14:paraId="245E9454" w14:textId="1BBCB597" w:rsidR="009A1222" w:rsidRPr="00752EC0" w:rsidRDefault="009A1222" w:rsidP="00ED3499">
            <w:pPr>
              <w:spacing w:before="60" w:after="60" w:line="240" w:lineRule="auto"/>
              <w:jc w:val="center"/>
              <w:rPr>
                <w:rFonts w:ascii="Arial Narrow" w:hAnsi="Arial Narrow" w:cs="Arial"/>
                <w:sz w:val="20"/>
                <w:szCs w:val="20"/>
                <w:lang w:val="es-ES_tradnl"/>
              </w:rPr>
            </w:pPr>
            <w:r w:rsidRPr="00752EC0">
              <w:rPr>
                <w:rFonts w:ascii="Arial Narrow" w:hAnsi="Arial Narrow" w:cs="Arial"/>
                <w:sz w:val="20"/>
                <w:szCs w:val="20"/>
                <w:lang w:val="es-MX"/>
              </w:rPr>
              <w:t>Consulta atendida.</w:t>
            </w:r>
          </w:p>
        </w:tc>
        <w:tc>
          <w:tcPr>
            <w:tcW w:w="0" w:type="auto"/>
            <w:vAlign w:val="center"/>
          </w:tcPr>
          <w:p w14:paraId="5B6D0FCA" w14:textId="09ACA9D6" w:rsidR="009A1222" w:rsidRPr="00752EC0" w:rsidRDefault="009A1222" w:rsidP="00ED3499">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val="es-ES_tradnl"/>
              </w:rPr>
            </w:pPr>
            <w:r w:rsidRPr="00752EC0">
              <w:rPr>
                <w:rFonts w:ascii="Arial Narrow" w:hAnsi="Arial Narrow" w:cs="Arial"/>
                <w:color w:val="000000"/>
                <w:sz w:val="20"/>
                <w:szCs w:val="20"/>
              </w:rPr>
              <w:t>833,00</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020397D8" w14:textId="73DFA57E" w:rsidR="009A1222" w:rsidRPr="00752EC0" w:rsidRDefault="00AD671E" w:rsidP="00ED3499">
            <w:pPr>
              <w:spacing w:before="60" w:after="60" w:line="240" w:lineRule="auto"/>
              <w:jc w:val="center"/>
              <w:rPr>
                <w:rFonts w:ascii="Arial Narrow" w:hAnsi="Arial Narrow" w:cs="Calibri"/>
                <w:color w:val="000000"/>
                <w:sz w:val="20"/>
                <w:szCs w:val="20"/>
              </w:rPr>
            </w:pPr>
            <w:r w:rsidRPr="00752EC0">
              <w:rPr>
                <w:rFonts w:ascii="Arial Narrow" w:hAnsi="Arial Narrow" w:cs="Calibri"/>
                <w:color w:val="000000"/>
                <w:sz w:val="20"/>
                <w:szCs w:val="20"/>
              </w:rPr>
              <w:t>1222,00</w:t>
            </w:r>
          </w:p>
        </w:tc>
        <w:tc>
          <w:tcPr>
            <w:tcW w:w="0" w:type="auto"/>
            <w:vAlign w:val="center"/>
          </w:tcPr>
          <w:p w14:paraId="5EE4FCAE" w14:textId="6B619640" w:rsidR="009A1222" w:rsidRPr="00752EC0" w:rsidRDefault="009A1222" w:rsidP="00ED3499">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val="es-ES_tradnl"/>
              </w:rPr>
            </w:pPr>
            <w:r w:rsidRPr="00752EC0">
              <w:rPr>
                <w:rFonts w:ascii="Arial Narrow" w:hAnsi="Arial Narrow" w:cs="Arial"/>
                <w:color w:val="000000"/>
                <w:sz w:val="20"/>
                <w:szCs w:val="20"/>
              </w:rPr>
              <w:t>90,04%</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11BE766F" w14:textId="6F310D85" w:rsidR="009A1222" w:rsidRPr="00752EC0" w:rsidRDefault="00A849BB" w:rsidP="00ED3499">
            <w:pPr>
              <w:spacing w:before="60" w:after="60" w:line="240" w:lineRule="auto"/>
              <w:jc w:val="center"/>
              <w:rPr>
                <w:rFonts w:ascii="Arial Narrow" w:hAnsi="Arial Narrow" w:cs="Arial"/>
                <w:sz w:val="20"/>
                <w:szCs w:val="20"/>
                <w:lang w:val="es-ES_tradnl"/>
              </w:rPr>
            </w:pPr>
            <w:r w:rsidRPr="00752EC0">
              <w:rPr>
                <w:rFonts w:ascii="Arial Narrow" w:hAnsi="Arial Narrow" w:cs="Calibri"/>
                <w:color w:val="000000"/>
                <w:sz w:val="20"/>
                <w:szCs w:val="20"/>
              </w:rPr>
              <w:t>146,70%</w:t>
            </w:r>
          </w:p>
        </w:tc>
        <w:tc>
          <w:tcPr>
            <w:tcW w:w="2130" w:type="dxa"/>
          </w:tcPr>
          <w:p w14:paraId="52D234EC" w14:textId="0386612D" w:rsidR="009A1222" w:rsidRPr="00752EC0" w:rsidRDefault="00384999" w:rsidP="00ED3499">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0"/>
                <w:szCs w:val="20"/>
              </w:rPr>
            </w:pPr>
            <w:r w:rsidRPr="00752EC0">
              <w:rPr>
                <w:rFonts w:ascii="Arial Narrow" w:hAnsi="Arial Narrow" w:cs="Calibri"/>
                <w:color w:val="000000"/>
                <w:sz w:val="20"/>
                <w:szCs w:val="20"/>
              </w:rPr>
              <w:t>Sistema de Gestión y Monitoreo de Actividades -SIGMA-, Unidad Registros y Consultas, ICD.</w:t>
            </w:r>
          </w:p>
        </w:tc>
      </w:tr>
    </w:tbl>
    <w:bookmarkEnd w:id="68"/>
    <w:p w14:paraId="14D3AE01" w14:textId="5E96109B" w:rsidR="00384999" w:rsidRPr="00F32F50" w:rsidRDefault="00FE11E2" w:rsidP="004C5D2D">
      <w:pPr>
        <w:ind w:left="-142"/>
        <w:contextualSpacing/>
        <w:jc w:val="center"/>
        <w:rPr>
          <w:rFonts w:ascii="Arial" w:hAnsi="Arial" w:cs="Arial"/>
          <w:bCs/>
          <w:sz w:val="16"/>
          <w:szCs w:val="20"/>
          <w:lang w:val="es-ES_tradnl"/>
        </w:rPr>
      </w:pPr>
      <w:r w:rsidRPr="0011789E">
        <w:rPr>
          <w:rFonts w:ascii="Arial" w:hAnsi="Arial" w:cs="Arial"/>
          <w:b/>
          <w:sz w:val="16"/>
          <w:szCs w:val="20"/>
          <w:lang w:val="es-ES_tradnl"/>
        </w:rPr>
        <w:t>Fuente</w:t>
      </w:r>
      <w:r w:rsidRPr="0011789E">
        <w:rPr>
          <w:rFonts w:ascii="Arial" w:hAnsi="Arial" w:cs="Arial"/>
          <w:sz w:val="16"/>
          <w:szCs w:val="20"/>
          <w:lang w:val="es-ES_tradnl"/>
        </w:rPr>
        <w:t xml:space="preserve">: </w:t>
      </w:r>
      <w:r w:rsidR="004C5D2D" w:rsidRPr="009123BB">
        <w:rPr>
          <w:rFonts w:ascii="Arial" w:hAnsi="Arial" w:cs="Arial"/>
          <w:sz w:val="16"/>
          <w:szCs w:val="20"/>
        </w:rPr>
        <w:t xml:space="preserve">Informe de seguimiento </w:t>
      </w:r>
      <w:r w:rsidR="004C5D2D">
        <w:rPr>
          <w:rFonts w:ascii="Arial" w:hAnsi="Arial" w:cs="Arial"/>
          <w:sz w:val="16"/>
          <w:szCs w:val="20"/>
        </w:rPr>
        <w:t xml:space="preserve">del </w:t>
      </w:r>
      <w:r w:rsidR="004C5D2D" w:rsidRPr="009123BB">
        <w:rPr>
          <w:rFonts w:ascii="Arial" w:hAnsi="Arial" w:cs="Arial"/>
          <w:sz w:val="16"/>
          <w:szCs w:val="20"/>
        </w:rPr>
        <w:t>SIGMA ICD Portal, 2021</w:t>
      </w:r>
      <w:r w:rsidR="004C5D2D">
        <w:rPr>
          <w:rFonts w:ascii="Arial" w:hAnsi="Arial" w:cs="Arial"/>
          <w:sz w:val="16"/>
          <w:szCs w:val="20"/>
        </w:rPr>
        <w:t xml:space="preserve"> y correos institucionales</w:t>
      </w:r>
      <w:r w:rsidR="004C5D2D" w:rsidRPr="009123BB">
        <w:rPr>
          <w:rFonts w:ascii="Arial" w:hAnsi="Arial" w:cs="Arial"/>
          <w:sz w:val="16"/>
          <w:szCs w:val="20"/>
        </w:rPr>
        <w:t>.</w:t>
      </w:r>
    </w:p>
    <w:p w14:paraId="74494A58" w14:textId="77777777" w:rsidR="00CB643F" w:rsidRDefault="00CB643F">
      <w:pPr>
        <w:rPr>
          <w:rFonts w:ascii="Arial" w:hAnsi="Arial" w:cs="Arial"/>
          <w:b/>
          <w:color w:val="000000"/>
          <w:sz w:val="20"/>
          <w:szCs w:val="20"/>
          <w:lang w:val="es-CR" w:eastAsia="es-CR"/>
        </w:rPr>
      </w:pPr>
      <w:r>
        <w:rPr>
          <w:rFonts w:ascii="Arial" w:hAnsi="Arial" w:cs="Arial"/>
          <w:b/>
          <w:color w:val="000000"/>
          <w:sz w:val="20"/>
          <w:szCs w:val="20"/>
          <w:lang w:val="es-CR" w:eastAsia="es-CR"/>
        </w:rPr>
        <w:br w:type="page"/>
      </w:r>
    </w:p>
    <w:p w14:paraId="49457230" w14:textId="79D4D055" w:rsidR="004F49FF" w:rsidRPr="000A5951" w:rsidRDefault="004F49FF" w:rsidP="004F49FF">
      <w:pPr>
        <w:spacing w:after="0"/>
        <w:ind w:left="720"/>
        <w:jc w:val="center"/>
        <w:rPr>
          <w:rFonts w:ascii="Arial" w:hAnsi="Arial" w:cs="Arial"/>
          <w:b/>
          <w:bCs/>
          <w:color w:val="000000"/>
          <w:sz w:val="20"/>
          <w:szCs w:val="20"/>
          <w:lang w:val="es-CR" w:eastAsia="es-CR"/>
        </w:rPr>
      </w:pPr>
      <w:r w:rsidRPr="000A5951">
        <w:rPr>
          <w:rFonts w:ascii="Arial" w:hAnsi="Arial" w:cs="Arial"/>
          <w:b/>
          <w:color w:val="000000"/>
          <w:sz w:val="20"/>
          <w:szCs w:val="20"/>
          <w:lang w:val="es-CR" w:eastAsia="es-CR"/>
        </w:rPr>
        <w:lastRenderedPageBreak/>
        <w:t>Cuadro 6</w:t>
      </w:r>
      <w:r w:rsidRPr="000A5951">
        <w:rPr>
          <w:rFonts w:ascii="Arial" w:hAnsi="Arial" w:cs="Arial"/>
          <w:color w:val="000000"/>
          <w:sz w:val="20"/>
          <w:szCs w:val="20"/>
          <w:lang w:val="es-CR" w:eastAsia="es-CR"/>
        </w:rPr>
        <w:t xml:space="preserve">. </w:t>
      </w:r>
      <w:r w:rsidR="001218E3" w:rsidRPr="001218E3">
        <w:rPr>
          <w:rFonts w:ascii="Arial" w:hAnsi="Arial" w:cs="Arial"/>
          <w:b/>
          <w:color w:val="000000"/>
          <w:sz w:val="20"/>
          <w:szCs w:val="20"/>
          <w:lang w:val="es-CR" w:eastAsia="es-CR"/>
        </w:rPr>
        <w:t>Unidades de medida.</w:t>
      </w:r>
      <w:r w:rsidR="001218E3">
        <w:rPr>
          <w:rFonts w:ascii="Arial" w:hAnsi="Arial" w:cs="Arial"/>
          <w:color w:val="000000"/>
          <w:sz w:val="20"/>
          <w:szCs w:val="20"/>
          <w:lang w:val="es-CR" w:eastAsia="es-CR"/>
        </w:rPr>
        <w:t xml:space="preserve"> </w:t>
      </w:r>
      <w:r w:rsidR="00131FB0" w:rsidRPr="000A5951">
        <w:rPr>
          <w:rFonts w:ascii="Arial" w:hAnsi="Arial" w:cs="Arial"/>
          <w:b/>
          <w:color w:val="000000"/>
          <w:sz w:val="20"/>
          <w:szCs w:val="20"/>
          <w:lang w:val="es-CR" w:eastAsia="es-CR"/>
        </w:rPr>
        <w:t>Acciones correctivas de mitad de año no efectivas</w:t>
      </w:r>
    </w:p>
    <w:p w14:paraId="083A6C83" w14:textId="5E282AF4" w:rsidR="00802536" w:rsidRPr="000F6075" w:rsidRDefault="000F6075" w:rsidP="00802536">
      <w:pPr>
        <w:spacing w:after="0" w:line="240" w:lineRule="auto"/>
        <w:jc w:val="center"/>
        <w:rPr>
          <w:rFonts w:ascii="Arial" w:hAnsi="Arial" w:cs="Arial"/>
          <w:sz w:val="20"/>
          <w:szCs w:val="20"/>
          <w:lang w:val="es-ES_tradnl"/>
        </w:rPr>
      </w:pPr>
      <w:r w:rsidRPr="00286078">
        <w:rPr>
          <w:rFonts w:ascii="Arial" w:hAnsi="Arial" w:cs="Arial"/>
          <w:sz w:val="20"/>
          <w:szCs w:val="20"/>
          <w:lang w:val="es-ES_tradnl"/>
        </w:rPr>
        <w:t>Programa 043</w:t>
      </w:r>
    </w:p>
    <w:p w14:paraId="4461A599" w14:textId="77777777" w:rsidR="004F49FF" w:rsidRPr="000A5951" w:rsidRDefault="001218E3" w:rsidP="001218E3">
      <w:pPr>
        <w:spacing w:after="0"/>
        <w:ind w:left="720"/>
        <w:jc w:val="center"/>
        <w:rPr>
          <w:rFonts w:ascii="Arial" w:hAnsi="Arial" w:cs="Arial"/>
          <w:color w:val="000000"/>
          <w:sz w:val="20"/>
          <w:szCs w:val="20"/>
          <w:lang w:val="es-CR" w:eastAsia="es-CR"/>
        </w:rPr>
      </w:pPr>
      <w:r>
        <w:rPr>
          <w:rFonts w:ascii="Arial" w:hAnsi="Arial" w:cs="Arial"/>
          <w:color w:val="000000"/>
          <w:sz w:val="20"/>
          <w:szCs w:val="20"/>
          <w:lang w:val="es-CR" w:eastAsia="es-CR"/>
        </w:rPr>
        <w:t>C</w:t>
      </w:r>
      <w:r w:rsidR="004F49FF" w:rsidRPr="000A5951">
        <w:rPr>
          <w:rFonts w:ascii="Arial" w:hAnsi="Arial" w:cs="Arial"/>
          <w:color w:val="000000"/>
          <w:sz w:val="20"/>
          <w:szCs w:val="20"/>
          <w:lang w:val="es-CR" w:eastAsia="es-CR"/>
        </w:rPr>
        <w:t xml:space="preserve">umplimiento menor al 25,00% al 30/06/2021 y </w:t>
      </w:r>
      <w:r w:rsidR="00C7760E">
        <w:rPr>
          <w:rFonts w:ascii="Arial" w:hAnsi="Arial" w:cs="Arial"/>
          <w:color w:val="000000"/>
          <w:sz w:val="20"/>
          <w:szCs w:val="20"/>
          <w:lang w:val="es-CR" w:eastAsia="es-CR"/>
        </w:rPr>
        <w:t xml:space="preserve">menor </w:t>
      </w:r>
      <w:r w:rsidR="004F49FF" w:rsidRPr="000A5951">
        <w:rPr>
          <w:rFonts w:ascii="Arial" w:hAnsi="Arial" w:cs="Arial"/>
          <w:color w:val="000000"/>
          <w:sz w:val="20"/>
          <w:szCs w:val="20"/>
          <w:lang w:val="es-CR" w:eastAsia="es-CR"/>
        </w:rPr>
        <w:t xml:space="preserve">al 90,00% </w:t>
      </w:r>
      <w:r>
        <w:rPr>
          <w:rFonts w:ascii="Arial" w:hAnsi="Arial" w:cs="Arial"/>
          <w:color w:val="000000"/>
          <w:sz w:val="20"/>
          <w:szCs w:val="20"/>
          <w:lang w:val="es-CR" w:eastAsia="es-CR"/>
        </w:rPr>
        <w:t>a</w:t>
      </w:r>
      <w:r w:rsidR="004F49FF" w:rsidRPr="000A5951">
        <w:rPr>
          <w:rFonts w:ascii="Arial" w:hAnsi="Arial" w:cs="Arial"/>
          <w:color w:val="000000"/>
          <w:sz w:val="20"/>
          <w:szCs w:val="20"/>
          <w:lang w:val="es-CR" w:eastAsia="es-CR"/>
        </w:rPr>
        <w:t>l 31/12/2021</w:t>
      </w:r>
    </w:p>
    <w:tbl>
      <w:tblPr>
        <w:tblStyle w:val="Listaclara-nfasis1"/>
        <w:tblW w:w="5341" w:type="pct"/>
        <w:jc w:val="center"/>
        <w:tblLook w:val="00A0" w:firstRow="1" w:lastRow="0" w:firstColumn="1" w:lastColumn="0" w:noHBand="0" w:noVBand="0"/>
      </w:tblPr>
      <w:tblGrid>
        <w:gridCol w:w="1234"/>
        <w:gridCol w:w="1550"/>
        <w:gridCol w:w="2735"/>
        <w:gridCol w:w="3544"/>
      </w:tblGrid>
      <w:tr w:rsidR="004F49FF" w:rsidRPr="000A5951" w14:paraId="488EFD6E" w14:textId="77777777" w:rsidTr="009E0F23">
        <w:trPr>
          <w:cnfStyle w:val="100000000000" w:firstRow="1" w:lastRow="0" w:firstColumn="0" w:lastColumn="0" w:oddVBand="0" w:evenVBand="0" w:oddHBand="0" w:evenHBand="0" w:firstRowFirstColumn="0" w:firstRowLastColumn="0" w:lastRowFirstColumn="0" w:lastRowLastColumn="0"/>
          <w:trHeight w:val="625"/>
          <w:tblHeader/>
          <w:jc w:val="center"/>
        </w:trPr>
        <w:tc>
          <w:tcPr>
            <w:cnfStyle w:val="001000000000" w:firstRow="0" w:lastRow="0" w:firstColumn="1" w:lastColumn="0" w:oddVBand="0" w:evenVBand="0" w:oddHBand="0" w:evenHBand="0" w:firstRowFirstColumn="0" w:firstRowLastColumn="0" w:lastRowFirstColumn="0" w:lastRowLastColumn="0"/>
            <w:tcW w:w="680" w:type="pct"/>
            <w:vAlign w:val="center"/>
          </w:tcPr>
          <w:p w14:paraId="711AA769" w14:textId="77777777" w:rsidR="004F49FF" w:rsidRPr="00E57EE4" w:rsidRDefault="004F49FF" w:rsidP="00816534">
            <w:pPr>
              <w:contextualSpacing/>
              <w:jc w:val="center"/>
              <w:rPr>
                <w:rFonts w:ascii="Arial" w:hAnsi="Arial" w:cs="Arial"/>
                <w:bCs w:val="0"/>
                <w:sz w:val="18"/>
                <w:szCs w:val="16"/>
                <w:lang w:val="es-CR"/>
              </w:rPr>
            </w:pPr>
            <w:r w:rsidRPr="00E57EE4">
              <w:rPr>
                <w:rFonts w:ascii="Arial" w:hAnsi="Arial" w:cs="Arial"/>
                <w:sz w:val="18"/>
                <w:szCs w:val="16"/>
                <w:lang w:val="es-CR"/>
              </w:rPr>
              <w:t>Unidad de Medida</w:t>
            </w:r>
          </w:p>
        </w:tc>
        <w:tc>
          <w:tcPr>
            <w:cnfStyle w:val="000010000000" w:firstRow="0" w:lastRow="0" w:firstColumn="0" w:lastColumn="0" w:oddVBand="1" w:evenVBand="0" w:oddHBand="0" w:evenHBand="0" w:firstRowFirstColumn="0" w:firstRowLastColumn="0" w:lastRowFirstColumn="0" w:lastRowLastColumn="0"/>
            <w:tcW w:w="855" w:type="pct"/>
            <w:vAlign w:val="center"/>
          </w:tcPr>
          <w:p w14:paraId="26955644" w14:textId="77777777" w:rsidR="004F49FF" w:rsidRPr="00E57EE4" w:rsidRDefault="004F49FF" w:rsidP="00816534">
            <w:pPr>
              <w:contextualSpacing/>
              <w:jc w:val="center"/>
              <w:rPr>
                <w:rFonts w:ascii="Arial" w:hAnsi="Arial" w:cs="Arial"/>
                <w:b w:val="0"/>
                <w:bCs w:val="0"/>
                <w:sz w:val="18"/>
                <w:szCs w:val="16"/>
                <w:lang w:val="es-CR"/>
              </w:rPr>
            </w:pPr>
            <w:r w:rsidRPr="00E57EE4">
              <w:rPr>
                <w:rFonts w:ascii="Arial" w:hAnsi="Arial" w:cs="Arial"/>
                <w:sz w:val="18"/>
                <w:szCs w:val="16"/>
                <w:lang w:val="es-CR"/>
              </w:rPr>
              <w:t>Factores</w:t>
            </w:r>
          </w:p>
          <w:p w14:paraId="4A1B3091" w14:textId="77777777" w:rsidR="004F49FF" w:rsidRPr="00E57EE4" w:rsidRDefault="004F49FF" w:rsidP="00816534">
            <w:pPr>
              <w:contextualSpacing/>
              <w:jc w:val="center"/>
              <w:rPr>
                <w:rFonts w:ascii="Arial" w:hAnsi="Arial" w:cs="Arial"/>
                <w:sz w:val="18"/>
                <w:szCs w:val="16"/>
                <w:lang w:val="es-CR"/>
              </w:rPr>
            </w:pPr>
            <w:r w:rsidRPr="00E57EE4">
              <w:rPr>
                <w:rFonts w:ascii="Arial" w:hAnsi="Arial" w:cs="Arial"/>
                <w:sz w:val="18"/>
                <w:szCs w:val="16"/>
                <w:lang w:val="es-CR"/>
              </w:rPr>
              <w:t xml:space="preserve">al 30/06/2021 </w:t>
            </w:r>
            <w:r w:rsidRPr="00E57EE4">
              <w:rPr>
                <w:rFonts w:ascii="Arial" w:hAnsi="Arial" w:cs="Arial"/>
                <w:sz w:val="18"/>
                <w:szCs w:val="16"/>
                <w:vertAlign w:val="superscript"/>
                <w:lang w:val="es-CR"/>
              </w:rPr>
              <w:t>/</w:t>
            </w:r>
            <w:r w:rsidR="00E22438" w:rsidRPr="00E57EE4">
              <w:rPr>
                <w:rFonts w:ascii="Arial" w:hAnsi="Arial" w:cs="Arial"/>
                <w:sz w:val="18"/>
                <w:szCs w:val="16"/>
                <w:vertAlign w:val="superscript"/>
                <w:lang w:val="es-CR"/>
              </w:rPr>
              <w:t>1</w:t>
            </w:r>
          </w:p>
        </w:tc>
        <w:tc>
          <w:tcPr>
            <w:tcW w:w="1509" w:type="pct"/>
            <w:vAlign w:val="center"/>
          </w:tcPr>
          <w:p w14:paraId="1022F78E" w14:textId="77777777" w:rsidR="004F49FF" w:rsidRPr="00E57EE4" w:rsidRDefault="004F49FF" w:rsidP="00763D7B">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6"/>
                <w:lang w:val="es-CR"/>
              </w:rPr>
            </w:pPr>
            <w:r w:rsidRPr="00E57EE4">
              <w:rPr>
                <w:rFonts w:ascii="Arial" w:hAnsi="Arial" w:cs="Arial"/>
                <w:sz w:val="18"/>
                <w:szCs w:val="16"/>
                <w:lang w:val="es-CR"/>
              </w:rPr>
              <w:t xml:space="preserve">Acciones correctivas </w:t>
            </w:r>
            <w:r w:rsidRPr="00E57EE4">
              <w:rPr>
                <w:rFonts w:ascii="Arial" w:hAnsi="Arial" w:cs="Arial"/>
                <w:sz w:val="18"/>
                <w:szCs w:val="16"/>
                <w:vertAlign w:val="superscript"/>
                <w:lang w:val="es-CR"/>
              </w:rPr>
              <w:t>/</w:t>
            </w:r>
            <w:r w:rsidR="00E22438" w:rsidRPr="00E57EE4">
              <w:rPr>
                <w:rFonts w:ascii="Arial" w:hAnsi="Arial" w:cs="Arial"/>
                <w:sz w:val="18"/>
                <w:szCs w:val="16"/>
                <w:vertAlign w:val="superscript"/>
                <w:lang w:val="es-CR"/>
              </w:rPr>
              <w:t>2</w:t>
            </w:r>
          </w:p>
        </w:tc>
        <w:tc>
          <w:tcPr>
            <w:cnfStyle w:val="000010000000" w:firstRow="0" w:lastRow="0" w:firstColumn="0" w:lastColumn="0" w:oddVBand="1" w:evenVBand="0" w:oddHBand="0" w:evenHBand="0" w:firstRowFirstColumn="0" w:firstRowLastColumn="0" w:lastRowFirstColumn="0" w:lastRowLastColumn="0"/>
            <w:tcW w:w="1955" w:type="pct"/>
            <w:vAlign w:val="center"/>
          </w:tcPr>
          <w:p w14:paraId="287FC400" w14:textId="77777777" w:rsidR="004F49FF" w:rsidRPr="00E57EE4" w:rsidRDefault="004F49FF" w:rsidP="00763D7B">
            <w:pPr>
              <w:spacing w:line="360" w:lineRule="auto"/>
              <w:contextualSpacing/>
              <w:jc w:val="center"/>
              <w:rPr>
                <w:rFonts w:ascii="Arial" w:hAnsi="Arial" w:cs="Arial"/>
                <w:bCs w:val="0"/>
                <w:sz w:val="18"/>
                <w:szCs w:val="16"/>
                <w:lang w:val="es-CR"/>
              </w:rPr>
            </w:pPr>
            <w:r w:rsidRPr="00E57EE4">
              <w:rPr>
                <w:rFonts w:ascii="Arial" w:hAnsi="Arial" w:cs="Arial"/>
                <w:sz w:val="18"/>
                <w:szCs w:val="16"/>
                <w:lang w:val="es-CR"/>
              </w:rPr>
              <w:t xml:space="preserve">Razones </w:t>
            </w:r>
            <w:r w:rsidRPr="00E57EE4">
              <w:rPr>
                <w:rFonts w:ascii="Arial" w:hAnsi="Arial" w:cs="Arial"/>
                <w:sz w:val="18"/>
                <w:szCs w:val="16"/>
                <w:vertAlign w:val="superscript"/>
                <w:lang w:val="es-CR"/>
              </w:rPr>
              <w:t>/</w:t>
            </w:r>
            <w:r w:rsidR="00E22438" w:rsidRPr="00E57EE4">
              <w:rPr>
                <w:rFonts w:ascii="Arial" w:hAnsi="Arial" w:cs="Arial"/>
                <w:sz w:val="18"/>
                <w:szCs w:val="16"/>
                <w:vertAlign w:val="superscript"/>
                <w:lang w:val="es-CR"/>
              </w:rPr>
              <w:t>3</w:t>
            </w:r>
          </w:p>
        </w:tc>
      </w:tr>
      <w:tr w:rsidR="00165B3A" w:rsidRPr="000A5951" w14:paraId="36FCB06B" w14:textId="77777777" w:rsidTr="009E0F23">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680" w:type="pct"/>
          </w:tcPr>
          <w:p w14:paraId="309D3F1A" w14:textId="46B5BF6D" w:rsidR="00165B3A" w:rsidRPr="00875316" w:rsidRDefault="00165B3A" w:rsidP="00165B3A">
            <w:pPr>
              <w:spacing w:line="240" w:lineRule="auto"/>
              <w:contextualSpacing/>
              <w:jc w:val="both"/>
              <w:rPr>
                <w:rFonts w:ascii="Arial" w:hAnsi="Arial" w:cs="Arial"/>
                <w:b w:val="0"/>
                <w:bCs w:val="0"/>
                <w:color w:val="C00000"/>
                <w:sz w:val="18"/>
                <w:szCs w:val="20"/>
                <w:highlight w:val="yellow"/>
                <w:lang w:val="es-CR"/>
              </w:rPr>
            </w:pPr>
            <w:r w:rsidRPr="00370D96">
              <w:rPr>
                <w:rFonts w:ascii="Arial Narrow" w:hAnsi="Arial Narrow" w:cs="Arial"/>
                <w:sz w:val="20"/>
                <w:szCs w:val="20"/>
                <w:lang w:val="es-MX"/>
              </w:rPr>
              <w:t>Documento emitido.</w:t>
            </w:r>
          </w:p>
        </w:tc>
        <w:tc>
          <w:tcPr>
            <w:cnfStyle w:val="000010000000" w:firstRow="0" w:lastRow="0" w:firstColumn="0" w:lastColumn="0" w:oddVBand="1" w:evenVBand="0" w:oddHBand="0" w:evenHBand="0" w:firstRowFirstColumn="0" w:firstRowLastColumn="0" w:lastRowFirstColumn="0" w:lastRowLastColumn="0"/>
            <w:tcW w:w="855" w:type="pct"/>
          </w:tcPr>
          <w:p w14:paraId="26A68D36" w14:textId="77777777" w:rsidR="00165B3A" w:rsidRPr="00A63314" w:rsidRDefault="00165B3A" w:rsidP="00165B3A">
            <w:pPr>
              <w:spacing w:line="276" w:lineRule="auto"/>
              <w:jc w:val="both"/>
              <w:rPr>
                <w:rFonts w:ascii="Arial Narrow" w:hAnsi="Arial Narrow" w:cs="Arial"/>
                <w:bCs/>
                <w:lang w:val="es-CR"/>
              </w:rPr>
            </w:pPr>
            <w:r w:rsidRPr="00A63314">
              <w:rPr>
                <w:rFonts w:ascii="Arial Narrow" w:hAnsi="Arial Narrow" w:cs="Arial"/>
                <w:bCs/>
                <w:lang w:val="es-CR"/>
              </w:rPr>
              <w:t>2</w:t>
            </w:r>
          </w:p>
          <w:p w14:paraId="5E8414F3" w14:textId="77777777" w:rsidR="00165B3A" w:rsidRPr="00A63314" w:rsidRDefault="00165B3A" w:rsidP="00165B3A">
            <w:pPr>
              <w:spacing w:line="276" w:lineRule="auto"/>
              <w:jc w:val="both"/>
              <w:rPr>
                <w:rFonts w:ascii="Arial Narrow" w:hAnsi="Arial Narrow" w:cs="Arial"/>
                <w:bCs/>
                <w:lang w:val="es-CR"/>
              </w:rPr>
            </w:pPr>
          </w:p>
          <w:p w14:paraId="0C24A14C" w14:textId="77777777" w:rsidR="00165B3A" w:rsidRPr="00A63314" w:rsidRDefault="00165B3A" w:rsidP="00165B3A">
            <w:pPr>
              <w:spacing w:line="276" w:lineRule="auto"/>
              <w:jc w:val="both"/>
              <w:rPr>
                <w:rFonts w:ascii="Arial Narrow" w:hAnsi="Arial Narrow" w:cs="Arial"/>
                <w:bCs/>
                <w:lang w:val="es-CR"/>
              </w:rPr>
            </w:pPr>
          </w:p>
          <w:p w14:paraId="744C8D1D" w14:textId="77777777" w:rsidR="00165B3A" w:rsidRPr="00A63314" w:rsidRDefault="00165B3A" w:rsidP="00165B3A">
            <w:pPr>
              <w:spacing w:line="276" w:lineRule="auto"/>
              <w:jc w:val="both"/>
              <w:rPr>
                <w:rFonts w:ascii="Arial Narrow" w:hAnsi="Arial Narrow" w:cs="Arial"/>
                <w:bCs/>
                <w:lang w:val="es-CR"/>
              </w:rPr>
            </w:pPr>
          </w:p>
          <w:p w14:paraId="37CE8DB1" w14:textId="77777777" w:rsidR="00165B3A" w:rsidRPr="00A63314" w:rsidRDefault="00165B3A" w:rsidP="00165B3A">
            <w:pPr>
              <w:spacing w:line="276" w:lineRule="auto"/>
              <w:jc w:val="both"/>
              <w:rPr>
                <w:rFonts w:ascii="Arial Narrow" w:hAnsi="Arial Narrow" w:cs="Arial"/>
                <w:bCs/>
                <w:lang w:val="es-CR"/>
              </w:rPr>
            </w:pPr>
          </w:p>
          <w:p w14:paraId="0A1E9865" w14:textId="77777777" w:rsidR="00165B3A" w:rsidRPr="00A63314" w:rsidRDefault="00165B3A" w:rsidP="00165B3A">
            <w:pPr>
              <w:spacing w:line="276" w:lineRule="auto"/>
              <w:jc w:val="both"/>
              <w:rPr>
                <w:rFonts w:ascii="Arial Narrow" w:hAnsi="Arial Narrow" w:cs="Arial"/>
                <w:bCs/>
                <w:lang w:val="es-CR"/>
              </w:rPr>
            </w:pPr>
          </w:p>
          <w:p w14:paraId="52C90D0B" w14:textId="77777777" w:rsidR="00165B3A" w:rsidRPr="00A63314" w:rsidRDefault="00165B3A" w:rsidP="00165B3A">
            <w:pPr>
              <w:spacing w:line="276" w:lineRule="auto"/>
              <w:jc w:val="both"/>
              <w:rPr>
                <w:rFonts w:ascii="Arial Narrow" w:hAnsi="Arial Narrow" w:cs="Arial"/>
                <w:bCs/>
                <w:lang w:val="es-CR"/>
              </w:rPr>
            </w:pPr>
          </w:p>
          <w:p w14:paraId="06063B3D" w14:textId="77777777" w:rsidR="00165B3A" w:rsidRPr="00A63314" w:rsidRDefault="00165B3A" w:rsidP="00165B3A">
            <w:pPr>
              <w:spacing w:line="276" w:lineRule="auto"/>
              <w:jc w:val="both"/>
              <w:rPr>
                <w:rFonts w:ascii="Arial Narrow" w:hAnsi="Arial Narrow" w:cs="Arial"/>
                <w:bCs/>
                <w:lang w:val="es-CR"/>
              </w:rPr>
            </w:pPr>
          </w:p>
          <w:p w14:paraId="381B3747" w14:textId="77777777" w:rsidR="00165B3A" w:rsidRPr="00A63314" w:rsidRDefault="00165B3A" w:rsidP="00165B3A">
            <w:pPr>
              <w:spacing w:line="276" w:lineRule="auto"/>
              <w:jc w:val="both"/>
              <w:rPr>
                <w:rFonts w:ascii="Arial Narrow" w:hAnsi="Arial Narrow" w:cs="Arial"/>
                <w:bCs/>
                <w:lang w:val="es-CR"/>
              </w:rPr>
            </w:pPr>
          </w:p>
          <w:p w14:paraId="07246767" w14:textId="27C37B9D" w:rsidR="00165B3A" w:rsidRDefault="00165B3A" w:rsidP="00165B3A">
            <w:pPr>
              <w:spacing w:line="276" w:lineRule="auto"/>
              <w:jc w:val="both"/>
              <w:rPr>
                <w:rFonts w:ascii="Arial Narrow" w:hAnsi="Arial Narrow" w:cs="Arial"/>
                <w:bCs/>
                <w:lang w:val="es-CR"/>
              </w:rPr>
            </w:pPr>
          </w:p>
          <w:p w14:paraId="1169F906" w14:textId="77777777" w:rsidR="009E0F23" w:rsidRPr="009E0F23" w:rsidRDefault="009E0F23" w:rsidP="00165B3A">
            <w:pPr>
              <w:spacing w:line="276" w:lineRule="auto"/>
              <w:jc w:val="both"/>
              <w:rPr>
                <w:rFonts w:ascii="Arial Narrow" w:hAnsi="Arial Narrow" w:cs="Arial"/>
                <w:bCs/>
                <w:sz w:val="10"/>
                <w:szCs w:val="10"/>
                <w:lang w:val="es-CR"/>
              </w:rPr>
            </w:pPr>
          </w:p>
          <w:p w14:paraId="2DB4DC65" w14:textId="07181822" w:rsidR="00165B3A" w:rsidRPr="00875316" w:rsidRDefault="00165B3A" w:rsidP="00165B3A">
            <w:pPr>
              <w:spacing w:line="240" w:lineRule="auto"/>
              <w:rPr>
                <w:rFonts w:ascii="Arial" w:hAnsi="Arial" w:cs="Arial"/>
                <w:bCs/>
                <w:color w:val="C00000"/>
                <w:sz w:val="18"/>
                <w:szCs w:val="20"/>
                <w:highlight w:val="yellow"/>
                <w:lang w:val="es-CR"/>
              </w:rPr>
            </w:pPr>
            <w:r w:rsidRPr="00A63314">
              <w:rPr>
                <w:rFonts w:ascii="Arial Narrow" w:hAnsi="Arial Narrow" w:cs="Arial"/>
                <w:bCs/>
                <w:lang w:val="es-CR"/>
              </w:rPr>
              <w:t xml:space="preserve">12. Documento que se requiere obligatoriamente para </w:t>
            </w:r>
            <w:proofErr w:type="gramStart"/>
            <w:r w:rsidRPr="00A63314">
              <w:rPr>
                <w:rFonts w:ascii="Arial Narrow" w:hAnsi="Arial Narrow" w:cs="Arial"/>
                <w:bCs/>
                <w:lang w:val="es-CR"/>
              </w:rPr>
              <w:t>dar inicio a</w:t>
            </w:r>
            <w:proofErr w:type="gramEnd"/>
            <w:r w:rsidRPr="00A63314">
              <w:rPr>
                <w:rFonts w:ascii="Arial Narrow" w:hAnsi="Arial Narrow" w:cs="Arial"/>
                <w:bCs/>
                <w:lang w:val="es-CR"/>
              </w:rPr>
              <w:t xml:space="preserve"> uno de los estudios.</w:t>
            </w:r>
          </w:p>
        </w:tc>
        <w:tc>
          <w:tcPr>
            <w:tcW w:w="1509" w:type="pct"/>
          </w:tcPr>
          <w:p w14:paraId="50349FD8" w14:textId="2DFEDBC3" w:rsidR="00165B3A" w:rsidRDefault="002B5C18" w:rsidP="00165B3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Cs/>
                <w:lang w:val="es-CR"/>
              </w:rPr>
            </w:pPr>
            <w:r>
              <w:rPr>
                <w:rFonts w:ascii="Arial Narrow" w:hAnsi="Arial Narrow" w:cs="Arial"/>
                <w:bCs/>
                <w:lang w:val="es-CR"/>
              </w:rPr>
              <w:t>2.</w:t>
            </w:r>
            <w:r w:rsidR="00017CD1">
              <w:rPr>
                <w:rFonts w:ascii="Arial Narrow" w:hAnsi="Arial Narrow" w:cs="Arial"/>
                <w:bCs/>
                <w:lang w:val="es-CR"/>
              </w:rPr>
              <w:t xml:space="preserve"> </w:t>
            </w:r>
            <w:r w:rsidRPr="00A63314">
              <w:rPr>
                <w:rFonts w:ascii="Arial Narrow" w:hAnsi="Arial Narrow" w:cs="Arial"/>
                <w:bCs/>
                <w:lang w:val="es-CR"/>
              </w:rPr>
              <w:t>Ya que muchos de los estudios se han programado para su conclusión en el segundo semestre, y todos muestran diferentes niveles de avance (p</w:t>
            </w:r>
            <w:r w:rsidRPr="00A63314">
              <w:rPr>
                <w:rFonts w:ascii="Arial Narrow" w:hAnsi="Arial Narrow" w:cs="Arial"/>
                <w:lang w:val="es-CR"/>
              </w:rPr>
              <w:t xml:space="preserve">lanteamiento de diseño de investigación elaborado o aprobado, protocolos de investigación elaborados, trabajo de campo efectuado, entre otros) </w:t>
            </w:r>
            <w:r w:rsidRPr="00A63314">
              <w:rPr>
                <w:rFonts w:ascii="Arial Narrow" w:hAnsi="Arial Narrow" w:cs="Arial"/>
                <w:bCs/>
                <w:lang w:val="es-CR"/>
              </w:rPr>
              <w:t>se creará un registro para dar seguimiento al nivel de avance de cada estudio por etapa/actividad y fechas límites, con la finalidad de detectar atrasos que afecten la conclusión de cada estudio.</w:t>
            </w:r>
          </w:p>
          <w:p w14:paraId="254186EE" w14:textId="77777777" w:rsidR="009E0F23" w:rsidRDefault="009E0F23" w:rsidP="00165B3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Cs/>
                <w:lang w:val="es-CR"/>
              </w:rPr>
            </w:pPr>
          </w:p>
          <w:p w14:paraId="0E77DE6B" w14:textId="7800E362" w:rsidR="00017CD1" w:rsidRPr="00875316" w:rsidRDefault="00017CD1" w:rsidP="00165B3A">
            <w:pPr>
              <w:spacing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C00000"/>
                <w:sz w:val="18"/>
                <w:szCs w:val="20"/>
                <w:highlight w:val="yellow"/>
                <w:lang w:val="es-CR"/>
              </w:rPr>
            </w:pPr>
            <w:r w:rsidRPr="00A63314">
              <w:rPr>
                <w:rFonts w:ascii="Arial Narrow" w:hAnsi="Arial Narrow" w:cs="Arial"/>
                <w:bCs/>
                <w:lang w:val="es-CR"/>
              </w:rPr>
              <w:t>12</w:t>
            </w:r>
            <w:r w:rsidR="009E0F23">
              <w:rPr>
                <w:rFonts w:ascii="Arial Narrow" w:hAnsi="Arial Narrow" w:cs="Arial"/>
                <w:bCs/>
                <w:lang w:val="es-CR"/>
              </w:rPr>
              <w:t>.</w:t>
            </w:r>
            <w:r w:rsidRPr="00A63314">
              <w:rPr>
                <w:rFonts w:ascii="Arial Narrow" w:hAnsi="Arial Narrow" w:cs="Arial"/>
                <w:bCs/>
                <w:lang w:val="es-CR"/>
              </w:rPr>
              <w:t xml:space="preserve"> </w:t>
            </w:r>
            <w:r w:rsidRPr="005302DF">
              <w:rPr>
                <w:rFonts w:ascii="Arial Narrow" w:hAnsi="Arial Narrow" w:cs="Arial"/>
                <w:bCs/>
                <w:lang w:val="es-CR"/>
              </w:rPr>
              <w:t>Uno de los estudios en particular presenta un riesgo considerable ya que requiere para su desarrollo de una declaración de interés nacional por parte de Casa Presidencial, que se encuentra en revisión por parte de la Oficina de Leyes y Decretos. Se plantea como acción correctiva el establecimiento de comunicaciones periódicas, sensibilizando sobre la importancia del es</w:t>
            </w:r>
            <w:r w:rsidR="00602004">
              <w:rPr>
                <w:rFonts w:ascii="Arial Narrow" w:hAnsi="Arial Narrow" w:cs="Arial"/>
                <w:bCs/>
                <w:lang w:val="es-CR"/>
              </w:rPr>
              <w:t>tudio.</w:t>
            </w:r>
          </w:p>
        </w:tc>
        <w:tc>
          <w:tcPr>
            <w:cnfStyle w:val="000010000000" w:firstRow="0" w:lastRow="0" w:firstColumn="0" w:lastColumn="0" w:oddVBand="1" w:evenVBand="0" w:oddHBand="0" w:evenHBand="0" w:firstRowFirstColumn="0" w:firstRowLastColumn="0" w:lastRowFirstColumn="0" w:lastRowLastColumn="0"/>
            <w:tcW w:w="1955" w:type="pct"/>
          </w:tcPr>
          <w:p w14:paraId="3F4F647C" w14:textId="7B1FCF2D" w:rsidR="006C5F38" w:rsidRPr="006C5F38" w:rsidRDefault="009E0F23" w:rsidP="006C5F38">
            <w:pPr>
              <w:jc w:val="both"/>
              <w:rPr>
                <w:rFonts w:ascii="Arial Narrow" w:hAnsi="Arial Narrow"/>
              </w:rPr>
            </w:pPr>
            <w:r>
              <w:rPr>
                <w:rFonts w:ascii="Arial Narrow" w:hAnsi="Arial Narrow"/>
              </w:rPr>
              <w:t xml:space="preserve">2. </w:t>
            </w:r>
            <w:r w:rsidR="006C5F38" w:rsidRPr="006C5F38">
              <w:rPr>
                <w:rFonts w:ascii="Arial Narrow" w:hAnsi="Arial Narrow"/>
              </w:rPr>
              <w:t>En el caso del estudio sobre la incorporación del enfoque de género en los planes de atención de las ONG autorizadas por el IAFA, no fue posible obtener el visto bueno del IAFA para la compartición de la información, por lo que se acudió directamente a las ONG, sin embargo, a pesar de las comunicaciones escritas y telefónicas, solo 10 de 33 ONG brindaron información, cantidad insuficiente para realizar la investigación. Este compromiso se retoma para 2022.</w:t>
            </w:r>
          </w:p>
          <w:p w14:paraId="63CEB792" w14:textId="5784937D" w:rsidR="006C5F38" w:rsidRPr="006C5F38" w:rsidRDefault="006C5F38" w:rsidP="006C5F38">
            <w:pPr>
              <w:jc w:val="both"/>
              <w:rPr>
                <w:rFonts w:ascii="Arial Narrow" w:hAnsi="Arial Narrow"/>
              </w:rPr>
            </w:pPr>
            <w:r w:rsidRPr="006C5F38">
              <w:rPr>
                <w:rFonts w:ascii="Arial Narrow" w:hAnsi="Arial Narrow"/>
              </w:rPr>
              <w:t>Respecto al estudio “Personas menores de edad intervenidas por autoridades en posesión y</w:t>
            </w:r>
            <w:r w:rsidR="009E0F23">
              <w:rPr>
                <w:rFonts w:ascii="Arial Narrow" w:hAnsi="Arial Narrow"/>
              </w:rPr>
              <w:t xml:space="preserve"> </w:t>
            </w:r>
            <w:r w:rsidRPr="006C5F38">
              <w:rPr>
                <w:rFonts w:ascii="Arial Narrow" w:hAnsi="Arial Narrow"/>
              </w:rPr>
              <w:t>o consumo de SPA”, este presentó atrasos en cuanto a la obtención de fuentes de validación de la información, debido a que el PANI realizó un cotejo con 300 mil registros en los que no se identificó a ningún menor de los que se captó en la base de datos de la Fuerza Pública, ante esto, el PANI decidió revisar dicha información sin que a la fecha haya emitido una respuesta formal al ICD a pesar de la remisión de oficios de solicitud: UID-135-2021, UID-139-2021, UID-142-2021 y UID-189-2021 así como múltiples correos y llamadas. El estudio se retoma como parte de las actividades del 2022.</w:t>
            </w:r>
          </w:p>
          <w:p w14:paraId="279C6C8A" w14:textId="04F74A2C" w:rsidR="00165B3A" w:rsidRPr="006C5F38" w:rsidRDefault="009E0F23" w:rsidP="006C5F38">
            <w:pPr>
              <w:jc w:val="both"/>
              <w:rPr>
                <w:rFonts w:ascii="Arial Narrow" w:hAnsi="Arial Narrow"/>
              </w:rPr>
            </w:pPr>
            <w:r>
              <w:rPr>
                <w:rFonts w:ascii="Arial Narrow" w:hAnsi="Arial Narrow"/>
              </w:rPr>
              <w:t xml:space="preserve">12. </w:t>
            </w:r>
            <w:r w:rsidR="006C5F38" w:rsidRPr="006C5F38">
              <w:rPr>
                <w:rFonts w:ascii="Arial Narrow" w:hAnsi="Arial Narrow"/>
              </w:rPr>
              <w:t>El estudio “Sometimiento del Protocolo de Población Indígena a un Comité Ético Científico” recibió la declaratoria de interés nacional a destiempo (29 de octubre de 2021), lo que impidió la conformación del citado Comité</w:t>
            </w:r>
            <w:r w:rsidR="007D6AD9">
              <w:rPr>
                <w:rFonts w:ascii="Arial Narrow" w:hAnsi="Arial Narrow"/>
              </w:rPr>
              <w:t>.</w:t>
            </w:r>
          </w:p>
        </w:tc>
      </w:tr>
    </w:tbl>
    <w:p w14:paraId="4FA40522" w14:textId="6700EAE0" w:rsidR="004F49FF" w:rsidRPr="00017E0C" w:rsidRDefault="000A5951" w:rsidP="00017E0C">
      <w:pPr>
        <w:spacing w:after="0"/>
        <w:rPr>
          <w:rFonts w:ascii="Arial" w:hAnsi="Arial" w:cs="Arial"/>
          <w:bCs/>
          <w:sz w:val="16"/>
          <w:szCs w:val="16"/>
          <w:lang w:val="es-CR"/>
        </w:rPr>
      </w:pPr>
      <w:r w:rsidRPr="009123BB">
        <w:rPr>
          <w:rFonts w:ascii="Arial" w:hAnsi="Arial" w:cs="Arial"/>
          <w:b/>
          <w:sz w:val="16"/>
          <w:szCs w:val="16"/>
          <w:lang w:val="es-CR"/>
        </w:rPr>
        <w:t>Fuente</w:t>
      </w:r>
      <w:r w:rsidRPr="009123BB">
        <w:rPr>
          <w:rFonts w:ascii="Arial" w:hAnsi="Arial" w:cs="Arial"/>
          <w:sz w:val="16"/>
          <w:szCs w:val="16"/>
          <w:lang w:val="es-CR"/>
        </w:rPr>
        <w:t xml:space="preserve">: </w:t>
      </w:r>
      <w:r w:rsidR="009123BB" w:rsidRPr="009123BB">
        <w:rPr>
          <w:rFonts w:ascii="Arial" w:hAnsi="Arial" w:cs="Arial"/>
          <w:sz w:val="16"/>
          <w:szCs w:val="20"/>
        </w:rPr>
        <w:t>Informe de seguimiento semestral 2021 y SIGMA en ICD Portal, 2021</w:t>
      </w:r>
      <w:r w:rsidR="00D74803" w:rsidRPr="009123BB">
        <w:rPr>
          <w:rFonts w:ascii="Arial" w:hAnsi="Arial" w:cs="Arial"/>
          <w:sz w:val="16"/>
          <w:szCs w:val="20"/>
        </w:rPr>
        <w:t>.</w:t>
      </w:r>
    </w:p>
    <w:p w14:paraId="5FD09F6E" w14:textId="77777777" w:rsidR="0057554F" w:rsidRDefault="0057554F">
      <w:pPr>
        <w:rPr>
          <w:rFonts w:ascii="Arial" w:hAnsi="Arial" w:cs="Arial"/>
          <w:b/>
          <w:color w:val="000000"/>
          <w:sz w:val="20"/>
          <w:szCs w:val="20"/>
          <w:lang w:val="es-CR" w:eastAsia="es-CR"/>
        </w:rPr>
      </w:pPr>
      <w:r>
        <w:rPr>
          <w:rFonts w:ascii="Arial" w:hAnsi="Arial" w:cs="Arial"/>
          <w:b/>
          <w:color w:val="000000"/>
          <w:sz w:val="20"/>
          <w:szCs w:val="20"/>
          <w:lang w:val="es-CR" w:eastAsia="es-CR"/>
        </w:rPr>
        <w:br w:type="page"/>
      </w:r>
    </w:p>
    <w:p w14:paraId="75D876A4" w14:textId="1AC3AD00" w:rsidR="009F6721" w:rsidRPr="00286078" w:rsidRDefault="009F6721" w:rsidP="009F6721">
      <w:pPr>
        <w:spacing w:after="0" w:line="240" w:lineRule="auto"/>
        <w:ind w:left="720"/>
        <w:jc w:val="center"/>
        <w:rPr>
          <w:rFonts w:ascii="Arial" w:hAnsi="Arial" w:cs="Arial"/>
          <w:b/>
          <w:bCs/>
          <w:color w:val="000000"/>
          <w:sz w:val="20"/>
          <w:szCs w:val="20"/>
          <w:lang w:val="es-CR" w:eastAsia="es-CR"/>
        </w:rPr>
      </w:pPr>
      <w:r w:rsidRPr="000A5951">
        <w:rPr>
          <w:rFonts w:ascii="Arial" w:hAnsi="Arial" w:cs="Arial"/>
          <w:b/>
          <w:color w:val="000000"/>
          <w:sz w:val="20"/>
          <w:szCs w:val="20"/>
          <w:lang w:val="es-CR" w:eastAsia="es-CR"/>
        </w:rPr>
        <w:lastRenderedPageBreak/>
        <w:t xml:space="preserve">Cuadro </w:t>
      </w:r>
      <w:r w:rsidR="004F49FF" w:rsidRPr="000A5951">
        <w:rPr>
          <w:rFonts w:ascii="Arial" w:hAnsi="Arial" w:cs="Arial"/>
          <w:b/>
          <w:color w:val="000000"/>
          <w:sz w:val="20"/>
          <w:szCs w:val="20"/>
          <w:lang w:val="es-CR" w:eastAsia="es-CR"/>
        </w:rPr>
        <w:t>7</w:t>
      </w:r>
      <w:r w:rsidRPr="000A5951">
        <w:rPr>
          <w:rFonts w:ascii="Arial" w:hAnsi="Arial" w:cs="Arial"/>
          <w:color w:val="000000"/>
          <w:sz w:val="20"/>
          <w:szCs w:val="20"/>
          <w:lang w:val="es-CR" w:eastAsia="es-CR"/>
        </w:rPr>
        <w:t xml:space="preserve">. </w:t>
      </w:r>
      <w:r w:rsidR="001218E3" w:rsidRPr="001218E3">
        <w:rPr>
          <w:rFonts w:ascii="Arial" w:hAnsi="Arial" w:cs="Arial"/>
          <w:b/>
          <w:color w:val="000000"/>
          <w:sz w:val="20"/>
          <w:szCs w:val="20"/>
          <w:lang w:val="es-CR" w:eastAsia="es-CR"/>
        </w:rPr>
        <w:t>Unidades de medida</w:t>
      </w:r>
      <w:r w:rsidR="001218E3" w:rsidRPr="00286078">
        <w:rPr>
          <w:rFonts w:ascii="Arial" w:hAnsi="Arial" w:cs="Arial"/>
          <w:b/>
          <w:color w:val="000000"/>
          <w:sz w:val="20"/>
          <w:szCs w:val="20"/>
          <w:lang w:val="es-CR" w:eastAsia="es-CR"/>
        </w:rPr>
        <w:t>.</w:t>
      </w:r>
      <w:r w:rsidR="001218E3" w:rsidRPr="00286078">
        <w:rPr>
          <w:rFonts w:ascii="Arial" w:hAnsi="Arial" w:cs="Arial"/>
          <w:color w:val="000000"/>
          <w:sz w:val="20"/>
          <w:szCs w:val="20"/>
          <w:lang w:val="es-CR" w:eastAsia="es-CR"/>
        </w:rPr>
        <w:t xml:space="preserve"> </w:t>
      </w:r>
      <w:r w:rsidR="00802536" w:rsidRPr="00286078">
        <w:rPr>
          <w:rFonts w:ascii="Arial" w:hAnsi="Arial" w:cs="Arial"/>
          <w:b/>
          <w:sz w:val="20"/>
          <w:szCs w:val="20"/>
          <w:lang w:val="es-CR" w:eastAsia="es-CR"/>
        </w:rPr>
        <w:t>Acciones correctivas y fechas de implementación</w:t>
      </w:r>
    </w:p>
    <w:p w14:paraId="0C4C6B0A" w14:textId="3BAB5E87" w:rsidR="001218E3" w:rsidRPr="0057554F" w:rsidRDefault="0057554F" w:rsidP="001218E3">
      <w:pPr>
        <w:spacing w:after="0" w:line="240" w:lineRule="auto"/>
        <w:jc w:val="center"/>
        <w:rPr>
          <w:rFonts w:ascii="Arial" w:hAnsi="Arial" w:cs="Arial"/>
          <w:sz w:val="20"/>
          <w:szCs w:val="20"/>
          <w:lang w:val="es-ES_tradnl"/>
        </w:rPr>
      </w:pPr>
      <w:r w:rsidRPr="00286078">
        <w:rPr>
          <w:rFonts w:ascii="Arial" w:hAnsi="Arial" w:cs="Arial"/>
          <w:sz w:val="20"/>
          <w:szCs w:val="20"/>
          <w:lang w:val="es-ES_tradnl"/>
        </w:rPr>
        <w:t>Programa 043</w:t>
      </w:r>
    </w:p>
    <w:p w14:paraId="6AB3230A" w14:textId="77777777" w:rsidR="001218E3" w:rsidRDefault="001218E3" w:rsidP="001218E3">
      <w:pPr>
        <w:spacing w:after="0" w:line="240" w:lineRule="auto"/>
        <w:jc w:val="center"/>
        <w:rPr>
          <w:rFonts w:ascii="Arial" w:hAnsi="Arial" w:cs="Arial"/>
          <w:color w:val="000000"/>
          <w:sz w:val="20"/>
          <w:szCs w:val="20"/>
          <w:lang w:val="es-CR" w:eastAsia="es-CR"/>
        </w:rPr>
      </w:pPr>
      <w:r>
        <w:rPr>
          <w:rFonts w:ascii="Arial" w:hAnsi="Arial" w:cs="Arial"/>
          <w:color w:val="000000"/>
          <w:sz w:val="20"/>
          <w:szCs w:val="20"/>
          <w:lang w:val="es-CR" w:eastAsia="es-CR"/>
        </w:rPr>
        <w:t>C</w:t>
      </w:r>
      <w:r w:rsidR="004F49FF" w:rsidRPr="000A5951">
        <w:rPr>
          <w:rFonts w:ascii="Arial" w:hAnsi="Arial" w:cs="Arial"/>
          <w:color w:val="000000"/>
          <w:sz w:val="20"/>
          <w:szCs w:val="20"/>
          <w:lang w:val="es-CR" w:eastAsia="es-CR"/>
        </w:rPr>
        <w:t>umplimiento</w:t>
      </w:r>
      <w:r w:rsidR="009F6721" w:rsidRPr="000A5951">
        <w:rPr>
          <w:rFonts w:ascii="Arial" w:hAnsi="Arial" w:cs="Arial"/>
          <w:color w:val="000000"/>
          <w:sz w:val="20"/>
          <w:szCs w:val="20"/>
          <w:lang w:val="es-CR" w:eastAsia="es-CR"/>
        </w:rPr>
        <w:t xml:space="preserve"> menor al 90,00%</w:t>
      </w:r>
    </w:p>
    <w:p w14:paraId="7554309D" w14:textId="77777777" w:rsidR="009F6721" w:rsidRPr="000A5951" w:rsidRDefault="00AB415F" w:rsidP="001218E3">
      <w:pPr>
        <w:spacing w:after="0" w:line="240" w:lineRule="auto"/>
        <w:jc w:val="center"/>
        <w:rPr>
          <w:rFonts w:ascii="Arial" w:hAnsi="Arial" w:cs="Arial"/>
          <w:color w:val="000000"/>
          <w:sz w:val="20"/>
          <w:szCs w:val="20"/>
          <w:lang w:val="es-CR" w:eastAsia="es-CR"/>
        </w:rPr>
      </w:pPr>
      <w:r>
        <w:rPr>
          <w:rFonts w:ascii="Arial" w:hAnsi="Arial" w:cs="Arial"/>
          <w:color w:val="000000"/>
          <w:sz w:val="20"/>
          <w:szCs w:val="20"/>
          <w:lang w:val="es-CR" w:eastAsia="es-CR"/>
        </w:rPr>
        <w:t>A</w:t>
      </w:r>
      <w:r w:rsidR="009F6721" w:rsidRPr="000A5951">
        <w:rPr>
          <w:rFonts w:ascii="Arial" w:hAnsi="Arial" w:cs="Arial"/>
          <w:color w:val="000000"/>
          <w:sz w:val="20"/>
          <w:szCs w:val="20"/>
          <w:lang w:val="es-CR" w:eastAsia="es-CR"/>
        </w:rPr>
        <w:t>l 31</w:t>
      </w:r>
      <w:r w:rsidR="001468C9">
        <w:rPr>
          <w:rFonts w:ascii="Arial" w:hAnsi="Arial" w:cs="Arial"/>
          <w:color w:val="000000"/>
          <w:sz w:val="20"/>
          <w:szCs w:val="20"/>
          <w:lang w:val="es-CR" w:eastAsia="es-CR"/>
        </w:rPr>
        <w:t xml:space="preserve"> de diciembre </w:t>
      </w:r>
      <w:r w:rsidR="009F6721" w:rsidRPr="000A5951">
        <w:rPr>
          <w:rFonts w:ascii="Arial" w:hAnsi="Arial" w:cs="Arial"/>
          <w:color w:val="000000"/>
          <w:sz w:val="20"/>
          <w:szCs w:val="20"/>
          <w:lang w:val="es-CR" w:eastAsia="es-CR"/>
        </w:rPr>
        <w:t>2021</w:t>
      </w:r>
    </w:p>
    <w:tbl>
      <w:tblPr>
        <w:tblStyle w:val="Listaclara-nfasis1"/>
        <w:tblW w:w="5000" w:type="pct"/>
        <w:tblLook w:val="00A0" w:firstRow="1" w:lastRow="0" w:firstColumn="1" w:lastColumn="0" w:noHBand="0" w:noVBand="0"/>
      </w:tblPr>
      <w:tblGrid>
        <w:gridCol w:w="1184"/>
        <w:gridCol w:w="1386"/>
        <w:gridCol w:w="1398"/>
        <w:gridCol w:w="1422"/>
        <w:gridCol w:w="1407"/>
        <w:gridCol w:w="1687"/>
      </w:tblGrid>
      <w:tr w:rsidR="00EF4202" w:rsidRPr="000A5951" w14:paraId="20AE89BB" w14:textId="77777777" w:rsidTr="0037575E">
        <w:trPr>
          <w:cnfStyle w:val="100000000000" w:firstRow="1" w:lastRow="0" w:firstColumn="0" w:lastColumn="0" w:oddVBand="0" w:evenVBand="0" w:oddHBand="0" w:evenHBand="0" w:firstRowFirstColumn="0" w:firstRowLastColumn="0" w:lastRowFirstColumn="0" w:lastRowLastColumn="0"/>
          <w:trHeight w:val="625"/>
          <w:tblHeader/>
        </w:trPr>
        <w:tc>
          <w:tcPr>
            <w:cnfStyle w:val="001000000000" w:firstRow="0" w:lastRow="0" w:firstColumn="1" w:lastColumn="0" w:oddVBand="0" w:evenVBand="0" w:oddHBand="0" w:evenHBand="0" w:firstRowFirstColumn="0" w:firstRowLastColumn="0" w:lastRowFirstColumn="0" w:lastRowLastColumn="0"/>
            <w:tcW w:w="698" w:type="pct"/>
            <w:vAlign w:val="center"/>
          </w:tcPr>
          <w:p w14:paraId="39D9EC26" w14:textId="77777777" w:rsidR="00FA7945" w:rsidRPr="00816534" w:rsidRDefault="00FA7945" w:rsidP="00816534">
            <w:pPr>
              <w:contextualSpacing/>
              <w:jc w:val="center"/>
              <w:rPr>
                <w:rFonts w:ascii="Arial" w:hAnsi="Arial" w:cs="Arial"/>
                <w:bCs w:val="0"/>
                <w:sz w:val="16"/>
                <w:szCs w:val="16"/>
                <w:lang w:val="es-CR"/>
              </w:rPr>
            </w:pPr>
            <w:r w:rsidRPr="00816534">
              <w:rPr>
                <w:rFonts w:ascii="Arial" w:hAnsi="Arial" w:cs="Arial"/>
                <w:sz w:val="16"/>
                <w:szCs w:val="16"/>
                <w:lang w:val="es-CR"/>
              </w:rPr>
              <w:t>Unidad de medida</w:t>
            </w:r>
          </w:p>
        </w:tc>
        <w:tc>
          <w:tcPr>
            <w:cnfStyle w:val="000010000000" w:firstRow="0" w:lastRow="0" w:firstColumn="0" w:lastColumn="0" w:oddVBand="1" w:evenVBand="0" w:oddHBand="0" w:evenHBand="0" w:firstRowFirstColumn="0" w:firstRowLastColumn="0" w:lastRowFirstColumn="0" w:lastRowLastColumn="0"/>
            <w:tcW w:w="817" w:type="pct"/>
            <w:vAlign w:val="center"/>
          </w:tcPr>
          <w:p w14:paraId="7845440B" w14:textId="77777777" w:rsidR="00FA7945" w:rsidRPr="00816534" w:rsidRDefault="00FA7945" w:rsidP="00816534">
            <w:pPr>
              <w:contextualSpacing/>
              <w:jc w:val="center"/>
              <w:rPr>
                <w:rFonts w:ascii="Arial" w:hAnsi="Arial" w:cs="Arial"/>
                <w:sz w:val="16"/>
                <w:szCs w:val="16"/>
                <w:lang w:val="es-CR"/>
              </w:rPr>
            </w:pPr>
            <w:r w:rsidRPr="00816534">
              <w:rPr>
                <w:rFonts w:ascii="Arial" w:hAnsi="Arial" w:cs="Arial"/>
                <w:sz w:val="16"/>
                <w:szCs w:val="16"/>
                <w:lang w:val="es-CR"/>
              </w:rPr>
              <w:t>Nivel de cumplimiento</w:t>
            </w:r>
          </w:p>
        </w:tc>
        <w:tc>
          <w:tcPr>
            <w:tcW w:w="824" w:type="pct"/>
            <w:vAlign w:val="center"/>
          </w:tcPr>
          <w:p w14:paraId="14505CD3" w14:textId="77777777" w:rsidR="00FA7945" w:rsidRPr="00816534" w:rsidRDefault="00FA7945" w:rsidP="00816534">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s-CR"/>
              </w:rPr>
            </w:pPr>
            <w:r w:rsidRPr="00816534">
              <w:rPr>
                <w:rFonts w:ascii="Arial" w:hAnsi="Arial" w:cs="Arial"/>
                <w:sz w:val="16"/>
                <w:szCs w:val="16"/>
                <w:lang w:val="es-CR"/>
              </w:rPr>
              <w:t>Factores que inciden en el cumplimiento</w:t>
            </w:r>
          </w:p>
        </w:tc>
        <w:tc>
          <w:tcPr>
            <w:cnfStyle w:val="000010000000" w:firstRow="0" w:lastRow="0" w:firstColumn="0" w:lastColumn="0" w:oddVBand="1" w:evenVBand="0" w:oddHBand="0" w:evenHBand="0" w:firstRowFirstColumn="0" w:firstRowLastColumn="0" w:lastRowFirstColumn="0" w:lastRowLastColumn="0"/>
            <w:tcW w:w="838" w:type="pct"/>
            <w:vAlign w:val="center"/>
          </w:tcPr>
          <w:p w14:paraId="6A05C3D2" w14:textId="77777777" w:rsidR="00FA7945" w:rsidRPr="00816534" w:rsidRDefault="00FA7945" w:rsidP="00816534">
            <w:pPr>
              <w:contextualSpacing/>
              <w:jc w:val="center"/>
              <w:rPr>
                <w:rFonts w:ascii="Arial" w:hAnsi="Arial" w:cs="Arial"/>
                <w:sz w:val="16"/>
                <w:szCs w:val="16"/>
                <w:lang w:val="es-CR"/>
              </w:rPr>
            </w:pPr>
            <w:r w:rsidRPr="00816534">
              <w:rPr>
                <w:rFonts w:ascii="Arial" w:hAnsi="Arial" w:cs="Arial"/>
                <w:sz w:val="16"/>
                <w:szCs w:val="16"/>
                <w:lang w:val="es-CR"/>
              </w:rPr>
              <w:t xml:space="preserve">Acciones correctivas </w:t>
            </w:r>
            <w:r w:rsidRPr="00816534">
              <w:rPr>
                <w:rFonts w:ascii="Arial" w:hAnsi="Arial" w:cs="Arial"/>
                <w:sz w:val="16"/>
                <w:szCs w:val="16"/>
                <w:vertAlign w:val="superscript"/>
                <w:lang w:val="es-CR"/>
              </w:rPr>
              <w:t>/</w:t>
            </w:r>
            <w:r w:rsidR="00E22438" w:rsidRPr="00816534">
              <w:rPr>
                <w:rFonts w:ascii="Arial" w:hAnsi="Arial" w:cs="Arial"/>
                <w:sz w:val="16"/>
                <w:szCs w:val="16"/>
                <w:vertAlign w:val="superscript"/>
                <w:lang w:val="es-CR"/>
              </w:rPr>
              <w:t>1</w:t>
            </w:r>
          </w:p>
        </w:tc>
        <w:tc>
          <w:tcPr>
            <w:tcW w:w="829" w:type="pct"/>
          </w:tcPr>
          <w:p w14:paraId="7A363FD4" w14:textId="77777777" w:rsidR="00FA7945" w:rsidRPr="00816534" w:rsidRDefault="00FA7945" w:rsidP="00816534">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s-CR"/>
              </w:rPr>
            </w:pPr>
            <w:r w:rsidRPr="00816534">
              <w:rPr>
                <w:rFonts w:ascii="Arial" w:hAnsi="Arial" w:cs="Arial"/>
                <w:sz w:val="16"/>
                <w:szCs w:val="16"/>
                <w:lang w:val="es-CR"/>
              </w:rPr>
              <w:t xml:space="preserve">Persona responsable de brindar la información </w:t>
            </w:r>
          </w:p>
        </w:tc>
        <w:tc>
          <w:tcPr>
            <w:cnfStyle w:val="000010000000" w:firstRow="0" w:lastRow="0" w:firstColumn="0" w:lastColumn="0" w:oddVBand="1" w:evenVBand="0" w:oddHBand="0" w:evenHBand="0" w:firstRowFirstColumn="0" w:firstRowLastColumn="0" w:lastRowFirstColumn="0" w:lastRowLastColumn="0"/>
            <w:tcW w:w="994" w:type="pct"/>
            <w:vAlign w:val="center"/>
          </w:tcPr>
          <w:p w14:paraId="0E3BA17A" w14:textId="77777777" w:rsidR="00FA7945" w:rsidRPr="00816534" w:rsidRDefault="00FA7945" w:rsidP="00816534">
            <w:pPr>
              <w:contextualSpacing/>
              <w:jc w:val="center"/>
              <w:rPr>
                <w:rFonts w:ascii="Arial" w:hAnsi="Arial" w:cs="Arial"/>
                <w:sz w:val="16"/>
                <w:szCs w:val="16"/>
                <w:lang w:val="es-CR"/>
              </w:rPr>
            </w:pPr>
            <w:r w:rsidRPr="00816534">
              <w:rPr>
                <w:rFonts w:ascii="Arial" w:hAnsi="Arial" w:cs="Arial"/>
                <w:sz w:val="16"/>
                <w:szCs w:val="16"/>
                <w:lang w:val="es-CR"/>
              </w:rPr>
              <w:t xml:space="preserve">Fecha de implementación </w:t>
            </w:r>
            <w:r w:rsidRPr="00816534">
              <w:rPr>
                <w:rFonts w:ascii="Arial" w:hAnsi="Arial" w:cs="Arial"/>
                <w:sz w:val="16"/>
                <w:szCs w:val="16"/>
                <w:vertAlign w:val="superscript"/>
                <w:lang w:val="es-CR"/>
              </w:rPr>
              <w:t>/</w:t>
            </w:r>
            <w:r w:rsidR="00E713FD" w:rsidRPr="00816534">
              <w:rPr>
                <w:rFonts w:ascii="Arial" w:hAnsi="Arial" w:cs="Arial"/>
                <w:sz w:val="16"/>
                <w:szCs w:val="16"/>
                <w:vertAlign w:val="superscript"/>
                <w:lang w:val="es-CR"/>
              </w:rPr>
              <w:t>2</w:t>
            </w:r>
          </w:p>
        </w:tc>
      </w:tr>
      <w:tr w:rsidR="0037575E" w:rsidRPr="004F49FF" w14:paraId="355DB2C3" w14:textId="77777777" w:rsidTr="0037575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8" w:type="pct"/>
          </w:tcPr>
          <w:p w14:paraId="62E69E8D" w14:textId="4048CA87" w:rsidR="0037575E" w:rsidRPr="0057554F" w:rsidRDefault="0037575E" w:rsidP="0037575E">
            <w:pPr>
              <w:spacing w:line="240" w:lineRule="auto"/>
              <w:contextualSpacing/>
              <w:jc w:val="both"/>
              <w:rPr>
                <w:rFonts w:ascii="Arial" w:hAnsi="Arial" w:cs="Arial"/>
                <w:b w:val="0"/>
                <w:bCs w:val="0"/>
                <w:color w:val="C00000"/>
                <w:sz w:val="18"/>
                <w:szCs w:val="18"/>
                <w:highlight w:val="yellow"/>
                <w:lang w:val="es-CR"/>
              </w:rPr>
            </w:pPr>
            <w:r w:rsidRPr="0057554F">
              <w:rPr>
                <w:rFonts w:ascii="Arial Narrow" w:hAnsi="Arial Narrow" w:cs="Arial"/>
                <w:b w:val="0"/>
                <w:bCs w:val="0"/>
                <w:sz w:val="20"/>
                <w:szCs w:val="20"/>
                <w:lang w:val="es-MX"/>
              </w:rPr>
              <w:t>Documento emitido.</w:t>
            </w:r>
          </w:p>
        </w:tc>
        <w:tc>
          <w:tcPr>
            <w:cnfStyle w:val="000010000000" w:firstRow="0" w:lastRow="0" w:firstColumn="0" w:lastColumn="0" w:oddVBand="1" w:evenVBand="0" w:oddHBand="0" w:evenHBand="0" w:firstRowFirstColumn="0" w:firstRowLastColumn="0" w:lastRowFirstColumn="0" w:lastRowLastColumn="0"/>
            <w:tcW w:w="817" w:type="pct"/>
          </w:tcPr>
          <w:p w14:paraId="445D7C56" w14:textId="1F13194C" w:rsidR="0037575E" w:rsidRPr="00C71273" w:rsidRDefault="0037575E" w:rsidP="0037575E">
            <w:pPr>
              <w:spacing w:line="240" w:lineRule="auto"/>
              <w:jc w:val="center"/>
              <w:rPr>
                <w:rFonts w:ascii="Arial" w:hAnsi="Arial" w:cs="Arial"/>
                <w:bCs/>
                <w:sz w:val="18"/>
                <w:szCs w:val="18"/>
                <w:lang w:val="es-CR"/>
              </w:rPr>
            </w:pPr>
            <w:r w:rsidRPr="00C71273">
              <w:rPr>
                <w:rFonts w:ascii="Arial" w:hAnsi="Arial" w:cs="Arial"/>
                <w:bCs/>
                <w:sz w:val="18"/>
                <w:szCs w:val="18"/>
                <w:lang w:val="es-CR"/>
              </w:rPr>
              <w:t>83,33%</w:t>
            </w:r>
          </w:p>
        </w:tc>
        <w:tc>
          <w:tcPr>
            <w:tcW w:w="824" w:type="pct"/>
          </w:tcPr>
          <w:p w14:paraId="0B3A3717" w14:textId="5494490A" w:rsidR="00C65CE2" w:rsidRPr="00C71273" w:rsidRDefault="00C65CE2" w:rsidP="00C65CE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Cs w:val="20"/>
              </w:rPr>
            </w:pPr>
            <w:r w:rsidRPr="00C71273">
              <w:rPr>
                <w:rFonts w:ascii="Arial Narrow" w:hAnsi="Arial Narrow" w:cs="Arial"/>
                <w:szCs w:val="20"/>
              </w:rPr>
              <w:t xml:space="preserve">12. Otro: </w:t>
            </w:r>
            <w:r w:rsidR="000C3305" w:rsidRPr="00C71273">
              <w:rPr>
                <w:rFonts w:ascii="Arial Narrow" w:hAnsi="Arial Narrow" w:cs="Arial"/>
                <w:szCs w:val="20"/>
              </w:rPr>
              <w:t>Obtención de información de fuentes externas.</w:t>
            </w:r>
          </w:p>
          <w:p w14:paraId="57C2DDB9" w14:textId="69C0DAEB" w:rsidR="000C3305" w:rsidRPr="00D40105" w:rsidRDefault="000C3305" w:rsidP="00C65CE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Cs w:val="20"/>
              </w:rPr>
            </w:pPr>
          </w:p>
          <w:p w14:paraId="5177C569" w14:textId="5DA68D44" w:rsidR="0037575E" w:rsidRPr="00D40105" w:rsidRDefault="000C3305" w:rsidP="00BC144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Cs w:val="20"/>
              </w:rPr>
            </w:pPr>
            <w:r w:rsidRPr="00D40105">
              <w:rPr>
                <w:rFonts w:ascii="Arial Narrow" w:hAnsi="Arial Narrow" w:cs="Arial"/>
                <w:szCs w:val="20"/>
              </w:rPr>
              <w:t xml:space="preserve">12. Otro: Obtención de documento requerido para </w:t>
            </w:r>
            <w:proofErr w:type="gramStart"/>
            <w:r w:rsidRPr="00D40105">
              <w:rPr>
                <w:rFonts w:ascii="Arial Narrow" w:hAnsi="Arial Narrow" w:cs="Arial"/>
                <w:szCs w:val="20"/>
              </w:rPr>
              <w:t>dar inicio a</w:t>
            </w:r>
            <w:proofErr w:type="gramEnd"/>
            <w:r w:rsidRPr="00D40105">
              <w:rPr>
                <w:rFonts w:ascii="Arial Narrow" w:hAnsi="Arial Narrow" w:cs="Arial"/>
                <w:szCs w:val="20"/>
              </w:rPr>
              <w:t xml:space="preserve"> estudio.</w:t>
            </w:r>
          </w:p>
        </w:tc>
        <w:tc>
          <w:tcPr>
            <w:cnfStyle w:val="000010000000" w:firstRow="0" w:lastRow="0" w:firstColumn="0" w:lastColumn="0" w:oddVBand="1" w:evenVBand="0" w:oddHBand="0" w:evenHBand="0" w:firstRowFirstColumn="0" w:firstRowLastColumn="0" w:lastRowFirstColumn="0" w:lastRowLastColumn="0"/>
            <w:tcW w:w="838" w:type="pct"/>
          </w:tcPr>
          <w:p w14:paraId="3328987E" w14:textId="77777777" w:rsidR="0037575E" w:rsidRPr="00D40105" w:rsidRDefault="00BC144C" w:rsidP="0037575E">
            <w:pPr>
              <w:spacing w:line="240" w:lineRule="auto"/>
              <w:contextualSpacing/>
              <w:rPr>
                <w:rFonts w:ascii="Arial Narrow" w:hAnsi="Arial Narrow" w:cs="Arial"/>
                <w:szCs w:val="20"/>
              </w:rPr>
            </w:pPr>
            <w:r w:rsidRPr="00D40105">
              <w:rPr>
                <w:rFonts w:ascii="Arial Narrow" w:hAnsi="Arial Narrow" w:cs="Arial"/>
                <w:szCs w:val="20"/>
              </w:rPr>
              <w:t xml:space="preserve">12. </w:t>
            </w:r>
            <w:r w:rsidR="00EF4202" w:rsidRPr="00D40105">
              <w:rPr>
                <w:rFonts w:ascii="Arial Narrow" w:hAnsi="Arial Narrow" w:cs="Arial"/>
                <w:szCs w:val="20"/>
              </w:rPr>
              <w:t>Programación de visitas a ONG para recabar la información requerida.</w:t>
            </w:r>
          </w:p>
          <w:p w14:paraId="34261AFF" w14:textId="77777777" w:rsidR="00EF4202" w:rsidRPr="00D40105" w:rsidRDefault="00EF4202" w:rsidP="0037575E">
            <w:pPr>
              <w:spacing w:line="240" w:lineRule="auto"/>
              <w:contextualSpacing/>
              <w:rPr>
                <w:rFonts w:ascii="Arial Narrow" w:hAnsi="Arial Narrow" w:cs="Arial"/>
                <w:szCs w:val="20"/>
              </w:rPr>
            </w:pPr>
          </w:p>
          <w:p w14:paraId="0A03034B" w14:textId="77777777" w:rsidR="00EF4202" w:rsidRPr="00D40105" w:rsidRDefault="005D595B" w:rsidP="0037575E">
            <w:pPr>
              <w:spacing w:line="240" w:lineRule="auto"/>
              <w:contextualSpacing/>
              <w:rPr>
                <w:rFonts w:ascii="Arial Narrow" w:hAnsi="Arial Narrow" w:cs="Arial"/>
                <w:szCs w:val="20"/>
              </w:rPr>
            </w:pPr>
            <w:r w:rsidRPr="00D40105">
              <w:rPr>
                <w:rFonts w:ascii="Arial Narrow" w:hAnsi="Arial Narrow" w:cs="Arial"/>
                <w:szCs w:val="20"/>
              </w:rPr>
              <w:t>Elevación de solicitud de respuesta a máximo jerarca del PANI.</w:t>
            </w:r>
          </w:p>
          <w:p w14:paraId="531A955C" w14:textId="77777777" w:rsidR="005D595B" w:rsidRPr="00D40105" w:rsidRDefault="005D595B" w:rsidP="0037575E">
            <w:pPr>
              <w:spacing w:line="240" w:lineRule="auto"/>
              <w:contextualSpacing/>
              <w:rPr>
                <w:rFonts w:ascii="Arial Narrow" w:hAnsi="Arial Narrow" w:cs="Arial"/>
                <w:szCs w:val="20"/>
              </w:rPr>
            </w:pPr>
          </w:p>
          <w:p w14:paraId="7ADD22A2" w14:textId="2443E819" w:rsidR="005D595B" w:rsidRPr="00D40105" w:rsidRDefault="005D595B" w:rsidP="0037575E">
            <w:pPr>
              <w:spacing w:line="240" w:lineRule="auto"/>
              <w:contextualSpacing/>
              <w:rPr>
                <w:rFonts w:ascii="Arial Narrow" w:hAnsi="Arial Narrow" w:cs="Arial"/>
                <w:szCs w:val="20"/>
              </w:rPr>
            </w:pPr>
            <w:r w:rsidRPr="00D40105">
              <w:rPr>
                <w:rFonts w:ascii="Arial Narrow" w:hAnsi="Arial Narrow" w:cs="Arial"/>
                <w:szCs w:val="20"/>
              </w:rPr>
              <w:t>Búsqueda de Comité Ético Científico ad honorem.</w:t>
            </w:r>
          </w:p>
        </w:tc>
        <w:tc>
          <w:tcPr>
            <w:tcW w:w="829" w:type="pct"/>
          </w:tcPr>
          <w:p w14:paraId="1086AAB9" w14:textId="40D274D3" w:rsidR="0037575E" w:rsidRPr="00D40105" w:rsidRDefault="0037575E" w:rsidP="0037575E">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Arial Narrow" w:hAnsi="Arial Narrow" w:cs="Arial"/>
                <w:szCs w:val="20"/>
              </w:rPr>
            </w:pPr>
            <w:r w:rsidRPr="00D40105">
              <w:rPr>
                <w:rFonts w:ascii="Arial Narrow" w:hAnsi="Arial Narrow" w:cs="Arial"/>
                <w:szCs w:val="20"/>
              </w:rPr>
              <w:t xml:space="preserve">Andrés Rodríguez </w:t>
            </w:r>
            <w:r w:rsidR="002C6CF0" w:rsidRPr="00D40105">
              <w:rPr>
                <w:rFonts w:ascii="Arial Narrow" w:hAnsi="Arial Narrow" w:cs="Arial"/>
                <w:szCs w:val="20"/>
              </w:rPr>
              <w:t>Pérez.</w:t>
            </w:r>
          </w:p>
        </w:tc>
        <w:tc>
          <w:tcPr>
            <w:cnfStyle w:val="000010000000" w:firstRow="0" w:lastRow="0" w:firstColumn="0" w:lastColumn="0" w:oddVBand="1" w:evenVBand="0" w:oddHBand="0" w:evenHBand="0" w:firstRowFirstColumn="0" w:firstRowLastColumn="0" w:lastRowFirstColumn="0" w:lastRowLastColumn="0"/>
            <w:tcW w:w="994" w:type="pct"/>
          </w:tcPr>
          <w:p w14:paraId="3424C137" w14:textId="29FAB09A" w:rsidR="0037575E" w:rsidRPr="00D40105" w:rsidRDefault="00C71273" w:rsidP="0037575E">
            <w:pPr>
              <w:spacing w:line="240" w:lineRule="auto"/>
              <w:contextualSpacing/>
              <w:jc w:val="center"/>
              <w:rPr>
                <w:rFonts w:ascii="Arial Narrow" w:hAnsi="Arial Narrow" w:cs="Arial"/>
                <w:szCs w:val="20"/>
              </w:rPr>
            </w:pPr>
            <w:r w:rsidRPr="00D40105">
              <w:rPr>
                <w:rFonts w:ascii="Arial Narrow" w:hAnsi="Arial Narrow" w:cs="Arial"/>
                <w:szCs w:val="20"/>
              </w:rPr>
              <w:t>01/0</w:t>
            </w:r>
            <w:r w:rsidR="00C81A28">
              <w:rPr>
                <w:rFonts w:ascii="Arial Narrow" w:hAnsi="Arial Narrow" w:cs="Arial"/>
                <w:szCs w:val="20"/>
              </w:rPr>
              <w:t>3</w:t>
            </w:r>
            <w:r w:rsidRPr="00D40105">
              <w:rPr>
                <w:rFonts w:ascii="Arial Narrow" w:hAnsi="Arial Narrow" w:cs="Arial"/>
                <w:szCs w:val="20"/>
              </w:rPr>
              <w:t>/2022</w:t>
            </w:r>
            <w:r w:rsidR="0057554F" w:rsidRPr="00D40105">
              <w:rPr>
                <w:rFonts w:ascii="Arial Narrow" w:hAnsi="Arial Narrow" w:cs="Arial"/>
                <w:szCs w:val="20"/>
              </w:rPr>
              <w:t xml:space="preserve"> (inicio).</w:t>
            </w:r>
          </w:p>
          <w:p w14:paraId="19503714" w14:textId="5BF07E29" w:rsidR="0057554F" w:rsidRPr="00D40105" w:rsidRDefault="0057554F" w:rsidP="0037575E">
            <w:pPr>
              <w:spacing w:line="240" w:lineRule="auto"/>
              <w:contextualSpacing/>
              <w:jc w:val="center"/>
              <w:rPr>
                <w:rFonts w:ascii="Arial Narrow" w:hAnsi="Arial Narrow" w:cs="Arial"/>
                <w:szCs w:val="20"/>
              </w:rPr>
            </w:pPr>
          </w:p>
        </w:tc>
      </w:tr>
    </w:tbl>
    <w:p w14:paraId="465B4E50" w14:textId="753A0198" w:rsidR="002C6CF0" w:rsidRPr="000A5951" w:rsidRDefault="00802536" w:rsidP="002C6CF0">
      <w:pPr>
        <w:spacing w:after="0"/>
        <w:rPr>
          <w:rFonts w:ascii="Arial" w:hAnsi="Arial" w:cs="Arial"/>
          <w:bCs/>
          <w:sz w:val="16"/>
          <w:szCs w:val="16"/>
          <w:lang w:val="es-CR"/>
        </w:rPr>
      </w:pPr>
      <w:r>
        <w:rPr>
          <w:rFonts w:ascii="Arial" w:hAnsi="Arial" w:cs="Arial"/>
          <w:b/>
          <w:sz w:val="16"/>
          <w:szCs w:val="16"/>
          <w:lang w:val="es-CR"/>
        </w:rPr>
        <w:t xml:space="preserve">Fuente: </w:t>
      </w:r>
      <w:r w:rsidR="002C6CF0" w:rsidRPr="009123BB">
        <w:rPr>
          <w:rFonts w:ascii="Arial" w:hAnsi="Arial" w:cs="Arial"/>
          <w:sz w:val="16"/>
          <w:szCs w:val="20"/>
        </w:rPr>
        <w:t xml:space="preserve">SIGMA en ICD Portal, </w:t>
      </w:r>
      <w:r w:rsidR="002C6CF0" w:rsidRPr="00C81A28">
        <w:rPr>
          <w:rFonts w:ascii="Arial" w:hAnsi="Arial" w:cs="Arial"/>
          <w:sz w:val="16"/>
          <w:szCs w:val="20"/>
        </w:rPr>
        <w:t>2021 y correos institucionales.</w:t>
      </w:r>
    </w:p>
    <w:p w14:paraId="0F9E7C9B" w14:textId="37D81F44" w:rsidR="00802536" w:rsidRPr="00E713FD" w:rsidRDefault="00802536" w:rsidP="00802536">
      <w:pPr>
        <w:spacing w:after="0" w:line="240" w:lineRule="auto"/>
        <w:jc w:val="both"/>
        <w:rPr>
          <w:rFonts w:ascii="Arial" w:hAnsi="Arial" w:cs="Arial"/>
          <w:sz w:val="16"/>
          <w:szCs w:val="20"/>
          <w:lang w:val="es-ES_tradnl"/>
        </w:rPr>
      </w:pPr>
      <w:r w:rsidRPr="00E713FD">
        <w:rPr>
          <w:rFonts w:ascii="Arial" w:hAnsi="Arial" w:cs="Arial"/>
          <w:sz w:val="16"/>
          <w:szCs w:val="20"/>
          <w:lang w:val="es-ES_tradnl"/>
        </w:rPr>
        <w:t>/</w:t>
      </w:r>
      <w:r w:rsidR="00E713FD" w:rsidRPr="00E713FD">
        <w:rPr>
          <w:rFonts w:ascii="Arial" w:hAnsi="Arial" w:cs="Arial"/>
          <w:sz w:val="16"/>
          <w:szCs w:val="20"/>
          <w:lang w:val="es-ES_tradnl"/>
        </w:rPr>
        <w:t>1</w:t>
      </w:r>
      <w:r w:rsidRPr="00E713FD">
        <w:rPr>
          <w:rFonts w:ascii="Arial" w:hAnsi="Arial" w:cs="Arial"/>
          <w:sz w:val="16"/>
          <w:szCs w:val="20"/>
          <w:lang w:val="es-ES_tradnl"/>
        </w:rPr>
        <w:t xml:space="preserve"> Se refiere a acciones que implementará el centro gestor en 2022 para subsanar los problemas de ejecución que se presentaron al 31/12/2021.</w:t>
      </w:r>
    </w:p>
    <w:p w14:paraId="4E1EFCE5" w14:textId="77777777" w:rsidR="00802536" w:rsidRPr="00975364" w:rsidRDefault="00802536" w:rsidP="00802536">
      <w:pPr>
        <w:spacing w:after="0" w:line="240" w:lineRule="auto"/>
        <w:jc w:val="both"/>
        <w:rPr>
          <w:rFonts w:ascii="Arial" w:hAnsi="Arial" w:cs="Arial"/>
          <w:sz w:val="16"/>
          <w:szCs w:val="20"/>
          <w:lang w:val="es-ES_tradnl"/>
        </w:rPr>
      </w:pPr>
      <w:r w:rsidRPr="00E713FD">
        <w:rPr>
          <w:rFonts w:ascii="Arial" w:hAnsi="Arial" w:cs="Arial"/>
          <w:sz w:val="16"/>
          <w:szCs w:val="20"/>
          <w:lang w:val="es-ES_tradnl"/>
        </w:rPr>
        <w:t>/</w:t>
      </w:r>
      <w:r w:rsidR="00E713FD" w:rsidRPr="00E713FD">
        <w:rPr>
          <w:rFonts w:ascii="Arial" w:hAnsi="Arial" w:cs="Arial"/>
          <w:sz w:val="16"/>
          <w:szCs w:val="20"/>
          <w:lang w:val="es-ES_tradnl"/>
        </w:rPr>
        <w:t>2</w:t>
      </w:r>
      <w:r w:rsidRPr="00975364">
        <w:rPr>
          <w:rFonts w:ascii="Arial" w:hAnsi="Arial" w:cs="Arial"/>
          <w:sz w:val="16"/>
          <w:szCs w:val="20"/>
          <w:lang w:val="es-ES_tradnl"/>
        </w:rPr>
        <w:t xml:space="preserve"> Se refiere a la fecha en que las acciones correctivas empezarán a ser implementadas por el centro gestor.</w:t>
      </w:r>
    </w:p>
    <w:p w14:paraId="15D8B054" w14:textId="77777777" w:rsidR="004F49FF" w:rsidRDefault="004F49FF">
      <w:pPr>
        <w:rPr>
          <w:rFonts w:ascii="Arial" w:hAnsi="Arial" w:cs="Arial"/>
          <w:b/>
          <w:sz w:val="20"/>
          <w:szCs w:val="20"/>
          <w:lang w:val="es-ES_tradnl"/>
        </w:rPr>
      </w:pPr>
    </w:p>
    <w:p w14:paraId="0493E232" w14:textId="77777777" w:rsidR="002C6CF0" w:rsidRDefault="002C6CF0">
      <w:pPr>
        <w:rPr>
          <w:rFonts w:ascii="Arial" w:eastAsiaTheme="majorEastAsia" w:hAnsi="Arial" w:cs="Arial"/>
          <w:b/>
          <w:bCs/>
          <w:iCs/>
          <w:color w:val="002060"/>
          <w:spacing w:val="15"/>
          <w:szCs w:val="24"/>
        </w:rPr>
      </w:pPr>
      <w:r>
        <w:rPr>
          <w:rFonts w:ascii="Arial" w:hAnsi="Arial" w:cs="Arial"/>
          <w:iCs/>
          <w:smallCaps/>
          <w:color w:val="002060"/>
          <w:spacing w:val="15"/>
          <w:szCs w:val="24"/>
        </w:rPr>
        <w:br w:type="page"/>
      </w:r>
    </w:p>
    <w:p w14:paraId="34F13B1E" w14:textId="68A35E0C" w:rsidR="00D261C9" w:rsidRDefault="00D261C9" w:rsidP="00DE5EE9">
      <w:pPr>
        <w:pStyle w:val="Ttulo2"/>
        <w:numPr>
          <w:ilvl w:val="2"/>
          <w:numId w:val="11"/>
        </w:numPr>
        <w:jc w:val="both"/>
        <w:rPr>
          <w:rFonts w:ascii="Arial" w:hAnsi="Arial" w:cs="Arial"/>
          <w:iCs/>
          <w:smallCaps w:val="0"/>
          <w:color w:val="002060"/>
          <w:spacing w:val="15"/>
          <w:sz w:val="22"/>
          <w:szCs w:val="24"/>
        </w:rPr>
      </w:pPr>
      <w:bookmarkStart w:id="70" w:name="_Toc93673243"/>
      <w:r w:rsidRPr="00EF3B61">
        <w:rPr>
          <w:rFonts w:ascii="Arial" w:hAnsi="Arial" w:cs="Arial"/>
          <w:iCs/>
          <w:smallCaps w:val="0"/>
          <w:color w:val="002060"/>
          <w:spacing w:val="15"/>
          <w:sz w:val="22"/>
          <w:szCs w:val="24"/>
        </w:rPr>
        <w:lastRenderedPageBreak/>
        <w:t xml:space="preserve">Análisis de </w:t>
      </w:r>
      <w:r w:rsidR="00103798">
        <w:rPr>
          <w:rFonts w:ascii="Arial" w:hAnsi="Arial" w:cs="Arial"/>
          <w:iCs/>
          <w:smallCaps w:val="0"/>
          <w:color w:val="002060"/>
          <w:spacing w:val="15"/>
          <w:sz w:val="22"/>
          <w:szCs w:val="24"/>
        </w:rPr>
        <w:t>i</w:t>
      </w:r>
      <w:r w:rsidRPr="00EF3B61">
        <w:rPr>
          <w:rFonts w:ascii="Arial" w:hAnsi="Arial" w:cs="Arial"/>
          <w:iCs/>
          <w:smallCaps w:val="0"/>
          <w:color w:val="002060"/>
          <w:spacing w:val="15"/>
          <w:sz w:val="22"/>
          <w:szCs w:val="24"/>
        </w:rPr>
        <w:t>ndicadores</w:t>
      </w:r>
      <w:bookmarkEnd w:id="70"/>
    </w:p>
    <w:p w14:paraId="3A04809A" w14:textId="77777777" w:rsidR="000A5951" w:rsidRPr="00286078" w:rsidRDefault="00FE11E2" w:rsidP="00EF3B61">
      <w:pPr>
        <w:spacing w:before="240" w:after="0"/>
        <w:jc w:val="center"/>
        <w:rPr>
          <w:rFonts w:ascii="Arial" w:hAnsi="Arial" w:cs="Arial"/>
          <w:sz w:val="20"/>
          <w:szCs w:val="20"/>
          <w:lang w:val="es-ES_tradnl"/>
        </w:rPr>
      </w:pPr>
      <w:r w:rsidRPr="00596BA4">
        <w:rPr>
          <w:rFonts w:ascii="Arial" w:hAnsi="Arial" w:cs="Arial"/>
          <w:b/>
          <w:sz w:val="20"/>
          <w:szCs w:val="20"/>
          <w:lang w:val="es-ES_tradnl"/>
        </w:rPr>
        <w:t xml:space="preserve">Cuadro </w:t>
      </w:r>
      <w:r w:rsidR="004F49FF">
        <w:rPr>
          <w:rFonts w:ascii="Arial" w:hAnsi="Arial" w:cs="Arial"/>
          <w:b/>
          <w:sz w:val="20"/>
          <w:szCs w:val="20"/>
          <w:lang w:val="es-ES_tradnl"/>
        </w:rPr>
        <w:t>8</w:t>
      </w:r>
      <w:r w:rsidR="000A5951">
        <w:rPr>
          <w:rFonts w:ascii="Arial" w:hAnsi="Arial" w:cs="Arial"/>
          <w:b/>
          <w:sz w:val="20"/>
          <w:szCs w:val="20"/>
          <w:lang w:val="es-ES_tradnl"/>
        </w:rPr>
        <w:t>.</w:t>
      </w:r>
      <w:r w:rsidR="000A5951" w:rsidRPr="000A5951">
        <w:rPr>
          <w:rFonts w:ascii="Arial" w:hAnsi="Arial" w:cs="Arial"/>
          <w:sz w:val="20"/>
          <w:szCs w:val="20"/>
          <w:lang w:val="es-ES_tradnl"/>
        </w:rPr>
        <w:t xml:space="preserve"> </w:t>
      </w:r>
      <w:r w:rsidR="000A5951" w:rsidRPr="00286078">
        <w:rPr>
          <w:rFonts w:ascii="Arial" w:hAnsi="Arial" w:cs="Arial"/>
          <w:b/>
          <w:sz w:val="20"/>
          <w:szCs w:val="20"/>
          <w:lang w:val="es-ES_tradnl"/>
        </w:rPr>
        <w:t xml:space="preserve">Cumplimiento de indicadores </w:t>
      </w:r>
    </w:p>
    <w:p w14:paraId="59C67799" w14:textId="19339D35" w:rsidR="00802536" w:rsidRPr="002C6CF0" w:rsidRDefault="002C6CF0" w:rsidP="00802536">
      <w:pPr>
        <w:spacing w:after="0" w:line="240" w:lineRule="auto"/>
        <w:jc w:val="center"/>
        <w:rPr>
          <w:rFonts w:ascii="Arial" w:hAnsi="Arial" w:cs="Arial"/>
          <w:sz w:val="20"/>
          <w:szCs w:val="20"/>
          <w:lang w:val="es-ES_tradnl"/>
        </w:rPr>
      </w:pPr>
      <w:r w:rsidRPr="00286078">
        <w:rPr>
          <w:rFonts w:ascii="Arial" w:hAnsi="Arial" w:cs="Arial"/>
          <w:sz w:val="20"/>
          <w:szCs w:val="20"/>
          <w:lang w:val="es-ES_tradnl"/>
        </w:rPr>
        <w:t>Programa 043</w:t>
      </w:r>
    </w:p>
    <w:p w14:paraId="2DE718C0" w14:textId="77777777" w:rsidR="00886333" w:rsidRPr="0011789E" w:rsidRDefault="00091FC9" w:rsidP="00886333">
      <w:pPr>
        <w:spacing w:after="0"/>
        <w:jc w:val="center"/>
        <w:rPr>
          <w:rFonts w:ascii="Arial" w:hAnsi="Arial" w:cs="Arial"/>
          <w:sz w:val="20"/>
          <w:szCs w:val="20"/>
          <w:lang w:val="es-ES_tradnl"/>
        </w:rPr>
      </w:pPr>
      <w:r>
        <w:rPr>
          <w:rFonts w:ascii="Arial" w:hAnsi="Arial" w:cs="Arial"/>
          <w:sz w:val="20"/>
          <w:szCs w:val="20"/>
          <w:lang w:val="es-ES_tradnl"/>
        </w:rPr>
        <w:t>a</w:t>
      </w:r>
      <w:r w:rsidR="00FE11E2" w:rsidRPr="0011789E">
        <w:rPr>
          <w:rFonts w:ascii="Arial" w:hAnsi="Arial" w:cs="Arial"/>
          <w:sz w:val="20"/>
          <w:szCs w:val="20"/>
          <w:lang w:val="es-ES_tradnl"/>
        </w:rPr>
        <w:t xml:space="preserve">l 31 de diciembre </w:t>
      </w:r>
      <w:r w:rsidR="00556139">
        <w:rPr>
          <w:rFonts w:ascii="Arial" w:hAnsi="Arial" w:cs="Arial"/>
          <w:sz w:val="20"/>
          <w:szCs w:val="20"/>
          <w:lang w:val="es-ES_tradnl"/>
        </w:rPr>
        <w:t>2021</w:t>
      </w:r>
    </w:p>
    <w:tbl>
      <w:tblPr>
        <w:tblStyle w:val="Listaclara-nfasis1"/>
        <w:tblW w:w="6093" w:type="pct"/>
        <w:jc w:val="center"/>
        <w:tblLook w:val="00A0" w:firstRow="1" w:lastRow="0" w:firstColumn="1" w:lastColumn="0" w:noHBand="0" w:noVBand="0"/>
      </w:tblPr>
      <w:tblGrid>
        <w:gridCol w:w="1701"/>
        <w:gridCol w:w="2206"/>
        <w:gridCol w:w="1160"/>
        <w:gridCol w:w="1017"/>
        <w:gridCol w:w="1017"/>
        <w:gridCol w:w="1017"/>
        <w:gridCol w:w="2221"/>
      </w:tblGrid>
      <w:tr w:rsidR="00147775" w:rsidRPr="0011789E" w14:paraId="7E0DEA3F" w14:textId="77777777" w:rsidTr="0014777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822" w:type="pct"/>
            <w:vAlign w:val="center"/>
          </w:tcPr>
          <w:p w14:paraId="15AD545F" w14:textId="77777777" w:rsidR="00886333" w:rsidRPr="00816534" w:rsidRDefault="00886333" w:rsidP="004F2438">
            <w:pPr>
              <w:jc w:val="center"/>
              <w:rPr>
                <w:rFonts w:ascii="Arial" w:hAnsi="Arial" w:cs="Arial"/>
                <w:b w:val="0"/>
                <w:sz w:val="16"/>
                <w:szCs w:val="16"/>
              </w:rPr>
            </w:pPr>
            <w:r w:rsidRPr="00816534">
              <w:rPr>
                <w:rFonts w:ascii="Arial" w:hAnsi="Arial" w:cs="Arial"/>
                <w:sz w:val="16"/>
                <w:szCs w:val="16"/>
              </w:rPr>
              <w:t xml:space="preserve">Nombre del </w:t>
            </w:r>
            <w:r w:rsidR="0095426F" w:rsidRPr="00816534">
              <w:rPr>
                <w:rFonts w:ascii="Arial" w:hAnsi="Arial" w:cs="Arial"/>
                <w:sz w:val="16"/>
                <w:szCs w:val="16"/>
              </w:rPr>
              <w:t>p</w:t>
            </w:r>
            <w:r w:rsidRPr="00816534">
              <w:rPr>
                <w:rFonts w:ascii="Arial" w:hAnsi="Arial" w:cs="Arial"/>
                <w:sz w:val="16"/>
                <w:szCs w:val="16"/>
              </w:rPr>
              <w:t>roducto</w:t>
            </w:r>
          </w:p>
        </w:tc>
        <w:tc>
          <w:tcPr>
            <w:cnfStyle w:val="000010000000" w:firstRow="0" w:lastRow="0" w:firstColumn="0" w:lastColumn="0" w:oddVBand="1" w:evenVBand="0" w:oddHBand="0" w:evenHBand="0" w:firstRowFirstColumn="0" w:firstRowLastColumn="0" w:lastRowFirstColumn="0" w:lastRowLastColumn="0"/>
            <w:tcW w:w="1067" w:type="pct"/>
            <w:vAlign w:val="center"/>
          </w:tcPr>
          <w:p w14:paraId="358A7317" w14:textId="77777777" w:rsidR="00886333" w:rsidRPr="00816534" w:rsidRDefault="00CA5F1A" w:rsidP="004F2438">
            <w:pPr>
              <w:jc w:val="center"/>
              <w:rPr>
                <w:rFonts w:ascii="Arial" w:hAnsi="Arial" w:cs="Arial"/>
                <w:b w:val="0"/>
                <w:sz w:val="16"/>
                <w:szCs w:val="16"/>
              </w:rPr>
            </w:pPr>
            <w:r w:rsidRPr="00816534">
              <w:rPr>
                <w:rFonts w:ascii="Arial" w:hAnsi="Arial" w:cs="Arial"/>
                <w:sz w:val="16"/>
                <w:szCs w:val="16"/>
              </w:rPr>
              <w:t>Nombre</w:t>
            </w:r>
            <w:r w:rsidR="00886333" w:rsidRPr="00816534">
              <w:rPr>
                <w:rFonts w:ascii="Arial" w:hAnsi="Arial" w:cs="Arial"/>
                <w:sz w:val="16"/>
                <w:szCs w:val="16"/>
              </w:rPr>
              <w:t xml:space="preserve"> del </w:t>
            </w:r>
            <w:r w:rsidR="0095426F" w:rsidRPr="00816534">
              <w:rPr>
                <w:rFonts w:ascii="Arial" w:hAnsi="Arial" w:cs="Arial"/>
                <w:sz w:val="16"/>
                <w:szCs w:val="16"/>
              </w:rPr>
              <w:t>i</w:t>
            </w:r>
            <w:r w:rsidR="00886333" w:rsidRPr="00816534">
              <w:rPr>
                <w:rFonts w:ascii="Arial" w:hAnsi="Arial" w:cs="Arial"/>
                <w:sz w:val="16"/>
                <w:szCs w:val="16"/>
              </w:rPr>
              <w:t>ndicador</w:t>
            </w:r>
          </w:p>
        </w:tc>
        <w:tc>
          <w:tcPr>
            <w:tcW w:w="561" w:type="pct"/>
            <w:vAlign w:val="center"/>
          </w:tcPr>
          <w:p w14:paraId="1B6E0423" w14:textId="77777777" w:rsidR="00886333" w:rsidRPr="00816534" w:rsidRDefault="00886333" w:rsidP="004F243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816534">
              <w:rPr>
                <w:rFonts w:ascii="Arial" w:hAnsi="Arial" w:cs="Arial"/>
                <w:sz w:val="16"/>
                <w:szCs w:val="16"/>
              </w:rPr>
              <w:t>Programado</w:t>
            </w:r>
          </w:p>
        </w:tc>
        <w:tc>
          <w:tcPr>
            <w:cnfStyle w:val="000010000000" w:firstRow="0" w:lastRow="0" w:firstColumn="0" w:lastColumn="0" w:oddVBand="1" w:evenVBand="0" w:oddHBand="0" w:evenHBand="0" w:firstRowFirstColumn="0" w:firstRowLastColumn="0" w:lastRowFirstColumn="0" w:lastRowLastColumn="0"/>
            <w:tcW w:w="492" w:type="pct"/>
            <w:vAlign w:val="center"/>
          </w:tcPr>
          <w:p w14:paraId="66A170D4" w14:textId="77777777" w:rsidR="00886333" w:rsidRPr="00816534" w:rsidRDefault="00886333" w:rsidP="004F2438">
            <w:pPr>
              <w:jc w:val="center"/>
              <w:rPr>
                <w:rFonts w:ascii="Arial" w:hAnsi="Arial" w:cs="Arial"/>
                <w:b w:val="0"/>
                <w:sz w:val="16"/>
                <w:szCs w:val="16"/>
              </w:rPr>
            </w:pPr>
            <w:r w:rsidRPr="00816534">
              <w:rPr>
                <w:rFonts w:ascii="Arial" w:hAnsi="Arial" w:cs="Arial"/>
                <w:sz w:val="16"/>
                <w:szCs w:val="16"/>
              </w:rPr>
              <w:t>Alcanzado</w:t>
            </w:r>
          </w:p>
        </w:tc>
        <w:tc>
          <w:tcPr>
            <w:tcW w:w="492" w:type="pct"/>
            <w:vAlign w:val="center"/>
          </w:tcPr>
          <w:p w14:paraId="5A72651B" w14:textId="165EA819" w:rsidR="00886333" w:rsidRPr="00816534" w:rsidRDefault="00CA5F1A" w:rsidP="004F243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816534">
              <w:rPr>
                <w:rFonts w:ascii="Arial" w:hAnsi="Arial" w:cs="Arial"/>
                <w:sz w:val="16"/>
                <w:szCs w:val="16"/>
              </w:rPr>
              <w:t xml:space="preserve">Nivel alcanzado al 30/06/2021 </w:t>
            </w:r>
          </w:p>
        </w:tc>
        <w:tc>
          <w:tcPr>
            <w:cnfStyle w:val="000010000000" w:firstRow="0" w:lastRow="0" w:firstColumn="0" w:lastColumn="0" w:oddVBand="1" w:evenVBand="0" w:oddHBand="0" w:evenHBand="0" w:firstRowFirstColumn="0" w:firstRowLastColumn="0" w:lastRowFirstColumn="0" w:lastRowLastColumn="0"/>
            <w:tcW w:w="492" w:type="pct"/>
            <w:vAlign w:val="center"/>
          </w:tcPr>
          <w:p w14:paraId="719DB2D1" w14:textId="77777777" w:rsidR="00886333" w:rsidRPr="00816534" w:rsidRDefault="00886333" w:rsidP="004F2438">
            <w:pPr>
              <w:jc w:val="center"/>
              <w:rPr>
                <w:rFonts w:ascii="Arial" w:hAnsi="Arial" w:cs="Arial"/>
                <w:b w:val="0"/>
                <w:color w:val="0070C0"/>
                <w:sz w:val="16"/>
                <w:szCs w:val="16"/>
                <w:highlight w:val="yellow"/>
              </w:rPr>
            </w:pPr>
            <w:r w:rsidRPr="00816534">
              <w:rPr>
                <w:rFonts w:ascii="Arial" w:hAnsi="Arial" w:cs="Arial"/>
                <w:sz w:val="16"/>
                <w:szCs w:val="16"/>
              </w:rPr>
              <w:t>Nivel alcanzado al 3</w:t>
            </w:r>
            <w:r w:rsidR="00CA5F1A" w:rsidRPr="00816534">
              <w:rPr>
                <w:rFonts w:ascii="Arial" w:hAnsi="Arial" w:cs="Arial"/>
                <w:sz w:val="16"/>
                <w:szCs w:val="16"/>
              </w:rPr>
              <w:t>1</w:t>
            </w:r>
            <w:r w:rsidRPr="00816534">
              <w:rPr>
                <w:rFonts w:ascii="Arial" w:hAnsi="Arial" w:cs="Arial"/>
                <w:sz w:val="16"/>
                <w:szCs w:val="16"/>
              </w:rPr>
              <w:t>/</w:t>
            </w:r>
            <w:r w:rsidR="00CA5F1A" w:rsidRPr="00816534">
              <w:rPr>
                <w:rFonts w:ascii="Arial" w:hAnsi="Arial" w:cs="Arial"/>
                <w:sz w:val="16"/>
                <w:szCs w:val="16"/>
              </w:rPr>
              <w:t>12</w:t>
            </w:r>
            <w:r w:rsidRPr="00816534">
              <w:rPr>
                <w:rFonts w:ascii="Arial" w:hAnsi="Arial" w:cs="Arial"/>
                <w:sz w:val="16"/>
                <w:szCs w:val="16"/>
              </w:rPr>
              <w:t>/</w:t>
            </w:r>
            <w:r w:rsidR="00556139" w:rsidRPr="00816534">
              <w:rPr>
                <w:rFonts w:ascii="Arial" w:hAnsi="Arial" w:cs="Arial"/>
                <w:sz w:val="16"/>
                <w:szCs w:val="16"/>
              </w:rPr>
              <w:t>2021</w:t>
            </w:r>
            <w:r w:rsidRPr="00816534">
              <w:rPr>
                <w:rFonts w:ascii="Arial" w:hAnsi="Arial" w:cs="Arial"/>
                <w:sz w:val="16"/>
                <w:szCs w:val="16"/>
              </w:rPr>
              <w:t xml:space="preserve"> </w:t>
            </w:r>
          </w:p>
        </w:tc>
        <w:tc>
          <w:tcPr>
            <w:tcW w:w="1074" w:type="pct"/>
            <w:vAlign w:val="center"/>
          </w:tcPr>
          <w:p w14:paraId="49E1FF5A" w14:textId="77777777" w:rsidR="00886333" w:rsidRPr="00816534" w:rsidRDefault="00886333" w:rsidP="004F243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816534">
              <w:rPr>
                <w:rFonts w:ascii="Arial" w:hAnsi="Arial" w:cs="Arial"/>
                <w:sz w:val="16"/>
                <w:szCs w:val="16"/>
              </w:rPr>
              <w:t xml:space="preserve">Fuente de datos </w:t>
            </w:r>
            <w:r w:rsidRPr="00816534">
              <w:rPr>
                <w:rFonts w:ascii="Arial" w:hAnsi="Arial" w:cs="Arial"/>
                <w:sz w:val="16"/>
                <w:szCs w:val="16"/>
                <w:vertAlign w:val="superscript"/>
              </w:rPr>
              <w:t>/2</w:t>
            </w:r>
          </w:p>
        </w:tc>
      </w:tr>
      <w:tr w:rsidR="00002B74" w:rsidRPr="001244AF" w14:paraId="2B89F00B" w14:textId="77777777" w:rsidTr="001477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2" w:type="pct"/>
          </w:tcPr>
          <w:p w14:paraId="76E068D2" w14:textId="64A30754" w:rsidR="00FA5275" w:rsidRPr="00A519A7" w:rsidRDefault="00761EB7" w:rsidP="00147775">
            <w:pPr>
              <w:spacing w:before="40" w:after="40" w:line="240" w:lineRule="auto"/>
              <w:rPr>
                <w:rFonts w:ascii="Arial Narrow" w:hAnsi="Arial Narrow" w:cs="Arial"/>
                <w:b w:val="0"/>
                <w:color w:val="C00000"/>
                <w:sz w:val="18"/>
                <w:szCs w:val="18"/>
                <w:highlight w:val="yellow"/>
                <w:lang w:val="es-ES_tradnl"/>
              </w:rPr>
            </w:pPr>
            <w:r w:rsidRPr="00A519A7">
              <w:rPr>
                <w:rFonts w:ascii="Arial Narrow" w:hAnsi="Arial Narrow" w:cs="Arial"/>
                <w:b w:val="0"/>
                <w:bCs w:val="0"/>
                <w:sz w:val="18"/>
                <w:szCs w:val="18"/>
                <w:lang w:val="es-MX"/>
              </w:rPr>
              <w:t>PF. 01.</w:t>
            </w:r>
            <w:r w:rsidR="00526A3D" w:rsidRPr="00A519A7">
              <w:rPr>
                <w:rFonts w:ascii="Arial Narrow" w:hAnsi="Arial Narrow" w:cs="Arial"/>
                <w:b w:val="0"/>
                <w:bCs w:val="0"/>
                <w:sz w:val="18"/>
                <w:szCs w:val="18"/>
                <w:lang w:val="es-MX"/>
              </w:rPr>
              <w:t>Venta de bienes decomisados y comisados.</w:t>
            </w:r>
          </w:p>
        </w:tc>
        <w:tc>
          <w:tcPr>
            <w:cnfStyle w:val="000010000000" w:firstRow="0" w:lastRow="0" w:firstColumn="0" w:lastColumn="0" w:oddVBand="1" w:evenVBand="0" w:oddHBand="0" w:evenHBand="0" w:firstRowFirstColumn="0" w:firstRowLastColumn="0" w:lastRowFirstColumn="0" w:lastRowLastColumn="0"/>
            <w:tcW w:w="1067" w:type="pct"/>
          </w:tcPr>
          <w:p w14:paraId="1A223CE6" w14:textId="26F59BEA" w:rsidR="00FA5275" w:rsidRPr="00A519A7" w:rsidRDefault="00FA5275" w:rsidP="00147775">
            <w:pPr>
              <w:spacing w:before="40" w:after="40" w:line="240" w:lineRule="auto"/>
              <w:rPr>
                <w:rFonts w:ascii="Arial Narrow" w:hAnsi="Arial Narrow" w:cs="Arial"/>
                <w:color w:val="C00000"/>
                <w:sz w:val="18"/>
                <w:szCs w:val="18"/>
                <w:highlight w:val="yellow"/>
                <w:lang w:val="es-ES_tradnl"/>
              </w:rPr>
            </w:pPr>
            <w:r w:rsidRPr="00A519A7">
              <w:rPr>
                <w:rFonts w:ascii="Arial Narrow" w:hAnsi="Arial Narrow" w:cs="Arial"/>
                <w:sz w:val="18"/>
                <w:szCs w:val="18"/>
                <w:lang w:val="es-MX"/>
              </w:rPr>
              <w:t>PF.01.01.</w:t>
            </w:r>
            <w:r w:rsidRPr="00A519A7">
              <w:rPr>
                <w:rFonts w:ascii="Arial Narrow" w:hAnsi="Arial Narrow" w:cs="Arial"/>
                <w:sz w:val="18"/>
                <w:szCs w:val="18"/>
                <w:lang w:val="es-CR"/>
              </w:rPr>
              <w:t xml:space="preserve"> </w:t>
            </w:r>
            <w:r w:rsidRPr="00A519A7">
              <w:rPr>
                <w:rFonts w:ascii="Arial Narrow" w:hAnsi="Arial Narrow" w:cs="Arial"/>
                <w:sz w:val="18"/>
                <w:szCs w:val="18"/>
                <w:lang w:val="es-MX"/>
              </w:rPr>
              <w:t>Porcentaje de ventas de bienes decomisados y comisados realizadas.</w:t>
            </w:r>
          </w:p>
        </w:tc>
        <w:tc>
          <w:tcPr>
            <w:tcW w:w="561" w:type="pct"/>
          </w:tcPr>
          <w:p w14:paraId="2E86F9BB" w14:textId="5B3AA63D" w:rsidR="00FA5275" w:rsidRPr="00A519A7" w:rsidRDefault="00FA5275" w:rsidP="00147775">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color w:val="C00000"/>
                <w:sz w:val="18"/>
                <w:szCs w:val="18"/>
                <w:highlight w:val="yellow"/>
                <w:lang w:val="es-ES_tradnl"/>
              </w:rPr>
            </w:pPr>
            <w:r w:rsidRPr="00A519A7">
              <w:rPr>
                <w:rFonts w:ascii="Arial Narrow" w:hAnsi="Arial Narrow" w:cs="Arial"/>
                <w:color w:val="000000"/>
                <w:sz w:val="18"/>
                <w:szCs w:val="18"/>
              </w:rPr>
              <w:t>100,00%</w:t>
            </w:r>
          </w:p>
        </w:tc>
        <w:tc>
          <w:tcPr>
            <w:cnfStyle w:val="000010000000" w:firstRow="0" w:lastRow="0" w:firstColumn="0" w:lastColumn="0" w:oddVBand="1" w:evenVBand="0" w:oddHBand="0" w:evenHBand="0" w:firstRowFirstColumn="0" w:firstRowLastColumn="0" w:lastRowFirstColumn="0" w:lastRowLastColumn="0"/>
            <w:tcW w:w="492" w:type="pct"/>
          </w:tcPr>
          <w:p w14:paraId="0B273AED" w14:textId="4D2506DA" w:rsidR="00FA5275" w:rsidRPr="00A519A7" w:rsidRDefault="00212AB4" w:rsidP="00147775">
            <w:pPr>
              <w:spacing w:before="40" w:after="40" w:line="240" w:lineRule="auto"/>
              <w:rPr>
                <w:rFonts w:ascii="Arial Narrow" w:hAnsi="Arial Narrow" w:cs="Arial"/>
                <w:color w:val="C00000"/>
                <w:sz w:val="18"/>
                <w:szCs w:val="18"/>
                <w:highlight w:val="yellow"/>
                <w:lang w:val="es-ES_tradnl"/>
              </w:rPr>
            </w:pPr>
            <w:r w:rsidRPr="00A519A7">
              <w:rPr>
                <w:rFonts w:ascii="Arial Narrow" w:hAnsi="Arial Narrow" w:cs="Arial"/>
                <w:color w:val="000000"/>
                <w:sz w:val="18"/>
                <w:szCs w:val="18"/>
              </w:rPr>
              <w:t>100,00%</w:t>
            </w:r>
          </w:p>
        </w:tc>
        <w:tc>
          <w:tcPr>
            <w:tcW w:w="492" w:type="pct"/>
          </w:tcPr>
          <w:p w14:paraId="7B0C4E37" w14:textId="620ABD10" w:rsidR="00FA5275" w:rsidRPr="007E3B60" w:rsidRDefault="00FA5275" w:rsidP="00147775">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color w:val="C00000"/>
                <w:sz w:val="18"/>
                <w:szCs w:val="18"/>
                <w:lang w:val="es-ES_tradnl"/>
              </w:rPr>
            </w:pPr>
            <w:r w:rsidRPr="007E3B60">
              <w:rPr>
                <w:rFonts w:ascii="Arial Narrow" w:hAnsi="Arial Narrow" w:cs="Arial"/>
                <w:color w:val="000000"/>
                <w:sz w:val="18"/>
                <w:szCs w:val="18"/>
              </w:rPr>
              <w:t>50,00%</w:t>
            </w:r>
          </w:p>
        </w:tc>
        <w:tc>
          <w:tcPr>
            <w:cnfStyle w:val="000010000000" w:firstRow="0" w:lastRow="0" w:firstColumn="0" w:lastColumn="0" w:oddVBand="1" w:evenVBand="0" w:oddHBand="0" w:evenHBand="0" w:firstRowFirstColumn="0" w:firstRowLastColumn="0" w:lastRowFirstColumn="0" w:lastRowLastColumn="0"/>
            <w:tcW w:w="492" w:type="pct"/>
          </w:tcPr>
          <w:p w14:paraId="2221960F" w14:textId="2084AB3E" w:rsidR="00FA5275" w:rsidRPr="00A519A7" w:rsidRDefault="00212AB4" w:rsidP="00147775">
            <w:pPr>
              <w:spacing w:before="40" w:after="40" w:line="240" w:lineRule="auto"/>
              <w:rPr>
                <w:rFonts w:ascii="Arial Narrow" w:hAnsi="Arial Narrow" w:cs="Arial"/>
                <w:color w:val="C00000"/>
                <w:sz w:val="18"/>
                <w:szCs w:val="18"/>
                <w:highlight w:val="yellow"/>
                <w:lang w:val="es-ES_tradnl"/>
              </w:rPr>
            </w:pPr>
            <w:r w:rsidRPr="00A519A7">
              <w:rPr>
                <w:rFonts w:ascii="Arial Narrow" w:hAnsi="Arial Narrow" w:cs="Arial"/>
                <w:color w:val="000000"/>
                <w:sz w:val="18"/>
                <w:szCs w:val="18"/>
              </w:rPr>
              <w:t>100,00%</w:t>
            </w:r>
          </w:p>
        </w:tc>
        <w:tc>
          <w:tcPr>
            <w:tcW w:w="1074" w:type="pct"/>
          </w:tcPr>
          <w:p w14:paraId="7D867D82" w14:textId="0D122D37" w:rsidR="00FA5275" w:rsidRPr="00A519A7" w:rsidRDefault="00C63E66" w:rsidP="00147775">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color w:val="C00000"/>
                <w:sz w:val="18"/>
                <w:szCs w:val="18"/>
                <w:highlight w:val="yellow"/>
                <w:lang w:val="es-ES_tradnl"/>
              </w:rPr>
            </w:pPr>
            <w:r w:rsidRPr="00A519A7">
              <w:rPr>
                <w:rFonts w:ascii="Arial Narrow" w:hAnsi="Arial Narrow" w:cs="Arial"/>
                <w:sz w:val="18"/>
                <w:szCs w:val="18"/>
                <w:lang w:val="es-ES_tradnl"/>
              </w:rPr>
              <w:t>Sistema de Gestión y Monitoreo de Actividades -SIGMA- Unidad Recuperación de Activos, ICD.</w:t>
            </w:r>
          </w:p>
        </w:tc>
      </w:tr>
      <w:tr w:rsidR="00002B74" w:rsidRPr="001244AF" w14:paraId="3B1CBA1D" w14:textId="77777777" w:rsidTr="00147775">
        <w:trPr>
          <w:trHeight w:val="634"/>
          <w:jc w:val="center"/>
        </w:trPr>
        <w:tc>
          <w:tcPr>
            <w:cnfStyle w:val="001000000000" w:firstRow="0" w:lastRow="0" w:firstColumn="1" w:lastColumn="0" w:oddVBand="0" w:evenVBand="0" w:oddHBand="0" w:evenHBand="0" w:firstRowFirstColumn="0" w:firstRowLastColumn="0" w:lastRowFirstColumn="0" w:lastRowLastColumn="0"/>
            <w:tcW w:w="822" w:type="pct"/>
            <w:vMerge w:val="restart"/>
          </w:tcPr>
          <w:p w14:paraId="65CAADBC" w14:textId="639A80E0" w:rsidR="00C33806" w:rsidRPr="00A519A7" w:rsidRDefault="00C33806" w:rsidP="00147775">
            <w:pPr>
              <w:spacing w:before="40" w:after="40" w:line="240" w:lineRule="auto"/>
              <w:rPr>
                <w:rFonts w:ascii="Arial Narrow" w:hAnsi="Arial Narrow" w:cs="Arial"/>
                <w:b w:val="0"/>
                <w:sz w:val="18"/>
                <w:szCs w:val="18"/>
                <w:lang w:val="es-ES_tradnl"/>
              </w:rPr>
            </w:pPr>
            <w:r w:rsidRPr="00A519A7">
              <w:rPr>
                <w:rFonts w:ascii="Arial Narrow" w:hAnsi="Arial Narrow" w:cs="Arial"/>
                <w:b w:val="0"/>
                <w:bCs w:val="0"/>
                <w:sz w:val="18"/>
                <w:szCs w:val="18"/>
                <w:lang w:val="es-MX"/>
              </w:rPr>
              <w:t>PF. 02. Intervenciones para la reducción de actividades ilícitas.</w:t>
            </w:r>
          </w:p>
        </w:tc>
        <w:tc>
          <w:tcPr>
            <w:cnfStyle w:val="000010000000" w:firstRow="0" w:lastRow="0" w:firstColumn="0" w:lastColumn="0" w:oddVBand="1" w:evenVBand="0" w:oddHBand="0" w:evenHBand="0" w:firstRowFirstColumn="0" w:firstRowLastColumn="0" w:lastRowFirstColumn="0" w:lastRowLastColumn="0"/>
            <w:tcW w:w="1067" w:type="pct"/>
          </w:tcPr>
          <w:p w14:paraId="2B77FA09" w14:textId="376B2684" w:rsidR="00C33806" w:rsidRPr="00A519A7" w:rsidRDefault="00C33806" w:rsidP="00147775">
            <w:pPr>
              <w:spacing w:before="40" w:after="40" w:line="240" w:lineRule="auto"/>
              <w:rPr>
                <w:rFonts w:ascii="Arial Narrow" w:hAnsi="Arial Narrow" w:cs="Arial"/>
                <w:sz w:val="18"/>
                <w:szCs w:val="18"/>
                <w:lang w:val="es-ES_tradnl"/>
              </w:rPr>
            </w:pPr>
            <w:r w:rsidRPr="00A519A7">
              <w:rPr>
                <w:rFonts w:ascii="Arial Narrow" w:hAnsi="Arial Narrow" w:cs="Arial"/>
                <w:sz w:val="18"/>
                <w:szCs w:val="18"/>
                <w:lang w:val="es-MX"/>
              </w:rPr>
              <w:t>PF.02.01.</w:t>
            </w:r>
            <w:r w:rsidRPr="00A519A7">
              <w:rPr>
                <w:rFonts w:ascii="Arial Narrow" w:hAnsi="Arial Narrow" w:cs="Arial"/>
                <w:sz w:val="18"/>
                <w:szCs w:val="18"/>
                <w:lang w:val="es-CR"/>
              </w:rPr>
              <w:t xml:space="preserve"> </w:t>
            </w:r>
            <w:r w:rsidRPr="00A519A7">
              <w:rPr>
                <w:rFonts w:ascii="Arial Narrow" w:hAnsi="Arial Narrow" w:cs="Arial"/>
                <w:sz w:val="18"/>
                <w:szCs w:val="18"/>
                <w:lang w:val="es-MX"/>
              </w:rPr>
              <w:t>Porcentaje de avance de las etapas contempladas en la Estrategia Nacional de Lucha contra la Legitimación de Capitales.</w:t>
            </w:r>
          </w:p>
        </w:tc>
        <w:tc>
          <w:tcPr>
            <w:tcW w:w="561" w:type="pct"/>
          </w:tcPr>
          <w:p w14:paraId="34C004F6" w14:textId="740857AF" w:rsidR="00C33806" w:rsidRPr="00A519A7" w:rsidRDefault="00C33806" w:rsidP="00147775">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MX"/>
              </w:rPr>
            </w:pPr>
            <w:r w:rsidRPr="00A519A7">
              <w:rPr>
                <w:rFonts w:ascii="Arial Narrow" w:hAnsi="Arial Narrow" w:cs="Arial"/>
                <w:sz w:val="18"/>
                <w:szCs w:val="18"/>
                <w:lang w:val="es-MX"/>
              </w:rPr>
              <w:t>20,00%</w:t>
            </w:r>
          </w:p>
        </w:tc>
        <w:tc>
          <w:tcPr>
            <w:cnfStyle w:val="000010000000" w:firstRow="0" w:lastRow="0" w:firstColumn="0" w:lastColumn="0" w:oddVBand="1" w:evenVBand="0" w:oddHBand="0" w:evenHBand="0" w:firstRowFirstColumn="0" w:firstRowLastColumn="0" w:lastRowFirstColumn="0" w:lastRowLastColumn="0"/>
            <w:tcW w:w="492" w:type="pct"/>
          </w:tcPr>
          <w:p w14:paraId="458B151A" w14:textId="597EC40F" w:rsidR="00C33806" w:rsidRPr="00A519A7" w:rsidRDefault="00212AB4" w:rsidP="00147775">
            <w:pPr>
              <w:spacing w:before="40" w:after="40" w:line="240" w:lineRule="auto"/>
              <w:rPr>
                <w:rFonts w:ascii="Arial Narrow" w:hAnsi="Arial Narrow" w:cs="Arial"/>
                <w:sz w:val="18"/>
                <w:szCs w:val="18"/>
                <w:lang w:val="es-MX"/>
              </w:rPr>
            </w:pPr>
            <w:r w:rsidRPr="00A519A7">
              <w:rPr>
                <w:rFonts w:ascii="Arial Narrow" w:hAnsi="Arial Narrow" w:cs="Arial"/>
                <w:sz w:val="18"/>
                <w:szCs w:val="18"/>
                <w:lang w:val="es-MX"/>
              </w:rPr>
              <w:t>20,00%</w:t>
            </w:r>
          </w:p>
        </w:tc>
        <w:tc>
          <w:tcPr>
            <w:tcW w:w="492" w:type="pct"/>
          </w:tcPr>
          <w:p w14:paraId="03B56815" w14:textId="7A85DC43" w:rsidR="00C33806" w:rsidRPr="007E3B60" w:rsidRDefault="00CC3DA3" w:rsidP="00147775">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MX"/>
              </w:rPr>
            </w:pPr>
            <w:r w:rsidRPr="007E3B60">
              <w:rPr>
                <w:rFonts w:ascii="Arial Narrow" w:hAnsi="Arial Narrow" w:cs="Arial"/>
                <w:sz w:val="18"/>
                <w:szCs w:val="18"/>
                <w:lang w:val="es-MX"/>
              </w:rPr>
              <w:t>50</w:t>
            </w:r>
            <w:r w:rsidR="00C33806" w:rsidRPr="007E3B60">
              <w:rPr>
                <w:rFonts w:ascii="Arial Narrow" w:hAnsi="Arial Narrow" w:cs="Arial"/>
                <w:sz w:val="18"/>
                <w:szCs w:val="18"/>
                <w:lang w:val="es-MX"/>
              </w:rPr>
              <w:t>,00%</w:t>
            </w:r>
          </w:p>
        </w:tc>
        <w:tc>
          <w:tcPr>
            <w:cnfStyle w:val="000010000000" w:firstRow="0" w:lastRow="0" w:firstColumn="0" w:lastColumn="0" w:oddVBand="1" w:evenVBand="0" w:oddHBand="0" w:evenHBand="0" w:firstRowFirstColumn="0" w:firstRowLastColumn="0" w:lastRowFirstColumn="0" w:lastRowLastColumn="0"/>
            <w:tcW w:w="492" w:type="pct"/>
          </w:tcPr>
          <w:p w14:paraId="616694BD" w14:textId="6F346437" w:rsidR="00C33806" w:rsidRPr="00A519A7" w:rsidRDefault="00212AB4" w:rsidP="00147775">
            <w:pPr>
              <w:spacing w:before="40" w:after="40" w:line="240" w:lineRule="auto"/>
              <w:rPr>
                <w:rFonts w:ascii="Arial Narrow" w:hAnsi="Arial Narrow" w:cs="Arial"/>
                <w:sz w:val="18"/>
                <w:szCs w:val="18"/>
                <w:lang w:val="es-MX"/>
              </w:rPr>
            </w:pPr>
            <w:r w:rsidRPr="00A519A7">
              <w:rPr>
                <w:rFonts w:ascii="Arial Narrow" w:hAnsi="Arial Narrow" w:cs="Arial"/>
                <w:sz w:val="18"/>
                <w:szCs w:val="18"/>
                <w:lang w:val="es-MX"/>
              </w:rPr>
              <w:t>100,00%</w:t>
            </w:r>
          </w:p>
        </w:tc>
        <w:tc>
          <w:tcPr>
            <w:tcW w:w="1074" w:type="pct"/>
            <w:vMerge w:val="restart"/>
          </w:tcPr>
          <w:p w14:paraId="37650FD2" w14:textId="436084B6" w:rsidR="00C33806" w:rsidRPr="00A519A7" w:rsidRDefault="00C33806" w:rsidP="00147775">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MX"/>
              </w:rPr>
            </w:pPr>
            <w:r w:rsidRPr="00A519A7">
              <w:rPr>
                <w:rFonts w:ascii="Arial Narrow" w:hAnsi="Arial Narrow" w:cs="Arial"/>
                <w:sz w:val="18"/>
                <w:szCs w:val="18"/>
                <w:lang w:val="es-MX"/>
              </w:rPr>
              <w:t>Sistema de Gestión y Monitoreo de Actividades -SIGMA-, Unidad Inteligencia Financiera, ICD.</w:t>
            </w:r>
          </w:p>
        </w:tc>
      </w:tr>
      <w:tr w:rsidR="00002B74" w:rsidRPr="001244AF" w14:paraId="59DE22CA" w14:textId="77777777" w:rsidTr="001477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2" w:type="pct"/>
            <w:vMerge/>
          </w:tcPr>
          <w:p w14:paraId="581CC7AB" w14:textId="77777777" w:rsidR="00C33806" w:rsidRPr="00A519A7" w:rsidRDefault="00C33806" w:rsidP="00147775">
            <w:pPr>
              <w:spacing w:before="40" w:after="40" w:line="240" w:lineRule="auto"/>
              <w:rPr>
                <w:rFonts w:ascii="Arial Narrow" w:hAnsi="Arial Narrow" w:cs="Arial"/>
                <w:b w:val="0"/>
                <w:sz w:val="18"/>
                <w:szCs w:val="18"/>
                <w:lang w:val="es-ES_tradnl"/>
              </w:rPr>
            </w:pPr>
          </w:p>
        </w:tc>
        <w:tc>
          <w:tcPr>
            <w:cnfStyle w:val="000010000000" w:firstRow="0" w:lastRow="0" w:firstColumn="0" w:lastColumn="0" w:oddVBand="1" w:evenVBand="0" w:oddHBand="0" w:evenHBand="0" w:firstRowFirstColumn="0" w:firstRowLastColumn="0" w:lastRowFirstColumn="0" w:lastRowLastColumn="0"/>
            <w:tcW w:w="1067" w:type="pct"/>
          </w:tcPr>
          <w:p w14:paraId="6324E2DB" w14:textId="24B16CDF" w:rsidR="00C33806" w:rsidRPr="00A519A7" w:rsidRDefault="00C33806" w:rsidP="00147775">
            <w:pPr>
              <w:spacing w:before="40" w:after="40" w:line="240" w:lineRule="auto"/>
              <w:rPr>
                <w:rFonts w:ascii="Arial Narrow" w:hAnsi="Arial Narrow" w:cs="Arial"/>
                <w:sz w:val="18"/>
                <w:szCs w:val="18"/>
                <w:lang w:val="es-ES_tradnl"/>
              </w:rPr>
            </w:pPr>
            <w:r w:rsidRPr="00A519A7">
              <w:rPr>
                <w:rFonts w:ascii="Arial Narrow" w:hAnsi="Arial Narrow" w:cs="Arial"/>
                <w:sz w:val="18"/>
                <w:szCs w:val="18"/>
                <w:lang w:val="es-MX"/>
              </w:rPr>
              <w:t>PF.02.02.</w:t>
            </w:r>
            <w:r w:rsidRPr="00A519A7">
              <w:rPr>
                <w:rFonts w:ascii="Arial Narrow" w:hAnsi="Arial Narrow" w:cs="Arial"/>
                <w:sz w:val="18"/>
                <w:szCs w:val="18"/>
                <w:lang w:val="es-CR"/>
              </w:rPr>
              <w:t xml:space="preserve"> </w:t>
            </w:r>
            <w:r w:rsidRPr="00A519A7">
              <w:rPr>
                <w:rFonts w:ascii="Arial Narrow" w:hAnsi="Arial Narrow" w:cs="Arial"/>
                <w:sz w:val="18"/>
                <w:szCs w:val="18"/>
                <w:lang w:val="es-MX"/>
              </w:rPr>
              <w:t>Porcentaje de reportes de operaciones sospechas -ROS- valorados.</w:t>
            </w:r>
          </w:p>
        </w:tc>
        <w:tc>
          <w:tcPr>
            <w:tcW w:w="561" w:type="pct"/>
          </w:tcPr>
          <w:p w14:paraId="191FCF71" w14:textId="7F18D97E" w:rsidR="00C33806" w:rsidRPr="00A519A7" w:rsidRDefault="00C33806" w:rsidP="00147775">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MX"/>
              </w:rPr>
            </w:pPr>
            <w:r w:rsidRPr="00A519A7">
              <w:rPr>
                <w:rFonts w:ascii="Arial Narrow" w:hAnsi="Arial Narrow" w:cs="Arial"/>
                <w:sz w:val="18"/>
                <w:szCs w:val="18"/>
                <w:lang w:val="es-MX"/>
              </w:rPr>
              <w:t>100,00%</w:t>
            </w:r>
          </w:p>
        </w:tc>
        <w:tc>
          <w:tcPr>
            <w:cnfStyle w:val="000010000000" w:firstRow="0" w:lastRow="0" w:firstColumn="0" w:lastColumn="0" w:oddVBand="1" w:evenVBand="0" w:oddHBand="0" w:evenHBand="0" w:firstRowFirstColumn="0" w:firstRowLastColumn="0" w:lastRowFirstColumn="0" w:lastRowLastColumn="0"/>
            <w:tcW w:w="492" w:type="pct"/>
          </w:tcPr>
          <w:p w14:paraId="7465DA65" w14:textId="4A2CEABD" w:rsidR="00C33806" w:rsidRPr="00A519A7" w:rsidRDefault="002F1C31" w:rsidP="00147775">
            <w:pPr>
              <w:spacing w:before="40" w:after="40" w:line="240" w:lineRule="auto"/>
              <w:rPr>
                <w:rFonts w:ascii="Arial Narrow" w:hAnsi="Arial Narrow" w:cs="Arial"/>
                <w:sz w:val="18"/>
                <w:szCs w:val="18"/>
                <w:lang w:val="es-MX"/>
              </w:rPr>
            </w:pPr>
            <w:r w:rsidRPr="00A519A7">
              <w:rPr>
                <w:rFonts w:ascii="Arial Narrow" w:hAnsi="Arial Narrow" w:cs="Arial"/>
                <w:sz w:val="18"/>
                <w:szCs w:val="18"/>
                <w:lang w:val="es-MX"/>
              </w:rPr>
              <w:t>100,00%</w:t>
            </w:r>
          </w:p>
        </w:tc>
        <w:tc>
          <w:tcPr>
            <w:tcW w:w="492" w:type="pct"/>
          </w:tcPr>
          <w:p w14:paraId="02784550" w14:textId="1F7C8F45" w:rsidR="00C33806" w:rsidRPr="007E3B60" w:rsidRDefault="00C33806" w:rsidP="00147775">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MX"/>
              </w:rPr>
            </w:pPr>
            <w:r w:rsidRPr="007E3B60">
              <w:rPr>
                <w:rFonts w:ascii="Arial Narrow" w:hAnsi="Arial Narrow" w:cs="Arial"/>
                <w:sz w:val="18"/>
                <w:szCs w:val="18"/>
                <w:lang w:val="es-MX"/>
              </w:rPr>
              <w:t>50,00%</w:t>
            </w:r>
          </w:p>
        </w:tc>
        <w:tc>
          <w:tcPr>
            <w:cnfStyle w:val="000010000000" w:firstRow="0" w:lastRow="0" w:firstColumn="0" w:lastColumn="0" w:oddVBand="1" w:evenVBand="0" w:oddHBand="0" w:evenHBand="0" w:firstRowFirstColumn="0" w:firstRowLastColumn="0" w:lastRowFirstColumn="0" w:lastRowLastColumn="0"/>
            <w:tcW w:w="492" w:type="pct"/>
          </w:tcPr>
          <w:p w14:paraId="5B07C1D6" w14:textId="38363E03" w:rsidR="00C33806" w:rsidRPr="00A519A7" w:rsidRDefault="002F1C31" w:rsidP="00147775">
            <w:pPr>
              <w:spacing w:before="40" w:after="40" w:line="240" w:lineRule="auto"/>
              <w:rPr>
                <w:rFonts w:ascii="Arial Narrow" w:hAnsi="Arial Narrow" w:cs="Arial"/>
                <w:sz w:val="18"/>
                <w:szCs w:val="18"/>
                <w:lang w:val="es-MX"/>
              </w:rPr>
            </w:pPr>
            <w:r w:rsidRPr="00A519A7">
              <w:rPr>
                <w:rFonts w:ascii="Arial Narrow" w:hAnsi="Arial Narrow" w:cs="Arial"/>
                <w:sz w:val="18"/>
                <w:szCs w:val="18"/>
                <w:lang w:val="es-MX"/>
              </w:rPr>
              <w:t>100,00%</w:t>
            </w:r>
          </w:p>
        </w:tc>
        <w:tc>
          <w:tcPr>
            <w:tcW w:w="1074" w:type="pct"/>
            <w:vMerge/>
          </w:tcPr>
          <w:p w14:paraId="53A41C4A" w14:textId="2EBD4B18" w:rsidR="00C33806" w:rsidRPr="00A519A7" w:rsidRDefault="00C33806" w:rsidP="00147775">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MX"/>
              </w:rPr>
            </w:pPr>
          </w:p>
        </w:tc>
      </w:tr>
      <w:tr w:rsidR="00002B74" w:rsidRPr="001244AF" w14:paraId="5BC1EBAB" w14:textId="77777777" w:rsidTr="00147775">
        <w:trPr>
          <w:jc w:val="center"/>
        </w:trPr>
        <w:tc>
          <w:tcPr>
            <w:cnfStyle w:val="001000000000" w:firstRow="0" w:lastRow="0" w:firstColumn="1" w:lastColumn="0" w:oddVBand="0" w:evenVBand="0" w:oddHBand="0" w:evenHBand="0" w:firstRowFirstColumn="0" w:firstRowLastColumn="0" w:lastRowFirstColumn="0" w:lastRowLastColumn="0"/>
            <w:tcW w:w="822" w:type="pct"/>
          </w:tcPr>
          <w:p w14:paraId="39E98C67" w14:textId="152F21EA" w:rsidR="00FA5275" w:rsidRPr="00A519A7" w:rsidRDefault="00761EB7" w:rsidP="00147775">
            <w:pPr>
              <w:spacing w:before="40" w:after="40" w:line="240" w:lineRule="auto"/>
              <w:rPr>
                <w:rFonts w:ascii="Arial Narrow" w:hAnsi="Arial Narrow" w:cs="Arial"/>
                <w:b w:val="0"/>
                <w:sz w:val="18"/>
                <w:szCs w:val="18"/>
                <w:lang w:val="es-ES_tradnl"/>
              </w:rPr>
            </w:pPr>
            <w:r w:rsidRPr="00A519A7">
              <w:rPr>
                <w:rFonts w:ascii="Arial Narrow" w:hAnsi="Arial Narrow" w:cs="Arial"/>
                <w:b w:val="0"/>
                <w:bCs w:val="0"/>
                <w:sz w:val="18"/>
                <w:szCs w:val="18"/>
                <w:lang w:val="es-MX"/>
              </w:rPr>
              <w:t xml:space="preserve">PF. 03. </w:t>
            </w:r>
            <w:r w:rsidR="00526A3D" w:rsidRPr="00A519A7">
              <w:rPr>
                <w:rFonts w:ascii="Arial Narrow" w:hAnsi="Arial Narrow" w:cs="Arial"/>
                <w:b w:val="0"/>
                <w:bCs w:val="0"/>
                <w:sz w:val="18"/>
                <w:szCs w:val="18"/>
                <w:lang w:val="es-MX"/>
              </w:rPr>
              <w:t>Control y fiscalización del uso y destino de sustancia</w:t>
            </w:r>
            <w:r w:rsidR="00526A3D" w:rsidRPr="00A519A7">
              <w:rPr>
                <w:rFonts w:ascii="Arial Narrow" w:hAnsi="Arial Narrow" w:cs="Arial"/>
                <w:b w:val="0"/>
                <w:sz w:val="18"/>
                <w:szCs w:val="18"/>
                <w:lang w:val="es-ES_tradnl"/>
              </w:rPr>
              <w:t>s</w:t>
            </w:r>
          </w:p>
        </w:tc>
        <w:tc>
          <w:tcPr>
            <w:cnfStyle w:val="000010000000" w:firstRow="0" w:lastRow="0" w:firstColumn="0" w:lastColumn="0" w:oddVBand="1" w:evenVBand="0" w:oddHBand="0" w:evenHBand="0" w:firstRowFirstColumn="0" w:firstRowLastColumn="0" w:lastRowFirstColumn="0" w:lastRowLastColumn="0"/>
            <w:tcW w:w="1067" w:type="pct"/>
          </w:tcPr>
          <w:p w14:paraId="4FBC3045" w14:textId="687E63E9" w:rsidR="00FA5275" w:rsidRPr="00A519A7" w:rsidRDefault="00FA5275" w:rsidP="00147775">
            <w:pPr>
              <w:spacing w:before="40" w:after="40" w:line="240" w:lineRule="auto"/>
              <w:rPr>
                <w:rFonts w:ascii="Arial Narrow" w:hAnsi="Arial Narrow" w:cs="Arial"/>
                <w:sz w:val="18"/>
                <w:szCs w:val="18"/>
                <w:lang w:val="es-ES_tradnl"/>
              </w:rPr>
            </w:pPr>
            <w:r w:rsidRPr="00A519A7">
              <w:rPr>
                <w:rFonts w:ascii="Arial Narrow" w:hAnsi="Arial Narrow" w:cs="Arial"/>
                <w:sz w:val="18"/>
                <w:szCs w:val="18"/>
                <w:lang w:val="es-MX"/>
              </w:rPr>
              <w:t>PF.03.01.</w:t>
            </w:r>
            <w:r w:rsidRPr="00A519A7">
              <w:rPr>
                <w:rFonts w:ascii="Arial Narrow" w:hAnsi="Arial Narrow" w:cs="Arial"/>
                <w:sz w:val="18"/>
                <w:szCs w:val="18"/>
                <w:lang w:val="es-CR"/>
              </w:rPr>
              <w:t xml:space="preserve"> </w:t>
            </w:r>
            <w:r w:rsidRPr="00A519A7">
              <w:rPr>
                <w:rFonts w:ascii="Arial Narrow" w:hAnsi="Arial Narrow" w:cs="Arial"/>
                <w:sz w:val="18"/>
                <w:szCs w:val="18"/>
                <w:lang w:val="es-MX"/>
              </w:rPr>
              <w:t>Plazo en días hábiles para la resolución de solicitudes de otorgamiento de licencia de importación, exportación o re</w:t>
            </w:r>
            <w:r w:rsidR="00147775">
              <w:rPr>
                <w:rFonts w:ascii="Arial Narrow" w:hAnsi="Arial Narrow" w:cs="Arial"/>
                <w:sz w:val="18"/>
                <w:szCs w:val="18"/>
                <w:lang w:val="es-MX"/>
              </w:rPr>
              <w:t>-</w:t>
            </w:r>
            <w:r w:rsidRPr="00A519A7">
              <w:rPr>
                <w:rFonts w:ascii="Arial Narrow" w:hAnsi="Arial Narrow" w:cs="Arial"/>
                <w:sz w:val="18"/>
                <w:szCs w:val="18"/>
                <w:lang w:val="es-MX"/>
              </w:rPr>
              <w:t>exportación.</w:t>
            </w:r>
          </w:p>
        </w:tc>
        <w:tc>
          <w:tcPr>
            <w:tcW w:w="561" w:type="pct"/>
          </w:tcPr>
          <w:p w14:paraId="0194B3A4" w14:textId="775CBFF7" w:rsidR="00FA5275" w:rsidRPr="00A519A7" w:rsidRDefault="00FA5275" w:rsidP="00147775">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MX"/>
              </w:rPr>
            </w:pPr>
            <w:r w:rsidRPr="00A519A7">
              <w:rPr>
                <w:rFonts w:ascii="Arial Narrow" w:hAnsi="Arial Narrow" w:cs="Arial"/>
                <w:sz w:val="18"/>
                <w:szCs w:val="18"/>
                <w:lang w:val="es-MX"/>
              </w:rPr>
              <w:t>5,00</w:t>
            </w:r>
          </w:p>
        </w:tc>
        <w:tc>
          <w:tcPr>
            <w:cnfStyle w:val="000010000000" w:firstRow="0" w:lastRow="0" w:firstColumn="0" w:lastColumn="0" w:oddVBand="1" w:evenVBand="0" w:oddHBand="0" w:evenHBand="0" w:firstRowFirstColumn="0" w:firstRowLastColumn="0" w:lastRowFirstColumn="0" w:lastRowLastColumn="0"/>
            <w:tcW w:w="492" w:type="pct"/>
          </w:tcPr>
          <w:p w14:paraId="40BC559F" w14:textId="3D53EA95" w:rsidR="00FA5275" w:rsidRPr="00A519A7" w:rsidRDefault="002F1C31" w:rsidP="00147775">
            <w:pPr>
              <w:spacing w:before="40" w:after="40" w:line="240" w:lineRule="auto"/>
              <w:rPr>
                <w:rFonts w:ascii="Arial Narrow" w:hAnsi="Arial Narrow" w:cs="Arial"/>
                <w:sz w:val="18"/>
                <w:szCs w:val="18"/>
                <w:lang w:val="es-MX"/>
              </w:rPr>
            </w:pPr>
            <w:r w:rsidRPr="00A519A7">
              <w:rPr>
                <w:rFonts w:ascii="Arial Narrow" w:hAnsi="Arial Narrow" w:cs="Arial"/>
                <w:sz w:val="18"/>
                <w:szCs w:val="18"/>
                <w:lang w:val="es-MX"/>
              </w:rPr>
              <w:t>5,00</w:t>
            </w:r>
          </w:p>
        </w:tc>
        <w:tc>
          <w:tcPr>
            <w:tcW w:w="492" w:type="pct"/>
          </w:tcPr>
          <w:p w14:paraId="142D93B3" w14:textId="07BE8D0A" w:rsidR="00FA5275" w:rsidRPr="007E3B60" w:rsidRDefault="00FA5275" w:rsidP="00147775">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MX"/>
              </w:rPr>
            </w:pPr>
            <w:r w:rsidRPr="007E3B60">
              <w:rPr>
                <w:rFonts w:ascii="Arial Narrow" w:hAnsi="Arial Narrow" w:cs="Arial"/>
                <w:sz w:val="18"/>
                <w:szCs w:val="18"/>
                <w:lang w:val="es-MX"/>
              </w:rPr>
              <w:t>5</w:t>
            </w:r>
            <w:r w:rsidR="00CC3DA3" w:rsidRPr="007E3B60">
              <w:rPr>
                <w:rFonts w:ascii="Arial Narrow" w:hAnsi="Arial Narrow" w:cs="Arial"/>
                <w:sz w:val="18"/>
                <w:szCs w:val="18"/>
                <w:lang w:val="es-MX"/>
              </w:rPr>
              <w:t>0</w:t>
            </w:r>
            <w:r w:rsidRPr="007E3B60">
              <w:rPr>
                <w:rFonts w:ascii="Arial Narrow" w:hAnsi="Arial Narrow" w:cs="Arial"/>
                <w:sz w:val="18"/>
                <w:szCs w:val="18"/>
                <w:lang w:val="es-MX"/>
              </w:rPr>
              <w:t>,00</w:t>
            </w:r>
            <w:r w:rsidR="00CC3DA3" w:rsidRPr="007E3B60">
              <w:rPr>
                <w:rFonts w:ascii="Arial Narrow" w:hAnsi="Arial Narrow" w:cs="Arial"/>
                <w:sz w:val="18"/>
                <w:szCs w:val="18"/>
                <w:lang w:val="es-MX"/>
              </w:rPr>
              <w:t>%</w:t>
            </w:r>
          </w:p>
        </w:tc>
        <w:tc>
          <w:tcPr>
            <w:cnfStyle w:val="000010000000" w:firstRow="0" w:lastRow="0" w:firstColumn="0" w:lastColumn="0" w:oddVBand="1" w:evenVBand="0" w:oddHBand="0" w:evenHBand="0" w:firstRowFirstColumn="0" w:firstRowLastColumn="0" w:lastRowFirstColumn="0" w:lastRowLastColumn="0"/>
            <w:tcW w:w="492" w:type="pct"/>
          </w:tcPr>
          <w:p w14:paraId="3387FE4A" w14:textId="575B1B23" w:rsidR="00FA5275" w:rsidRPr="00A519A7" w:rsidRDefault="002F1C31" w:rsidP="00147775">
            <w:pPr>
              <w:spacing w:before="40" w:after="40" w:line="240" w:lineRule="auto"/>
              <w:rPr>
                <w:rFonts w:ascii="Arial Narrow" w:hAnsi="Arial Narrow" w:cs="Arial"/>
                <w:sz w:val="18"/>
                <w:szCs w:val="18"/>
                <w:lang w:val="es-MX"/>
              </w:rPr>
            </w:pPr>
            <w:r w:rsidRPr="00A519A7">
              <w:rPr>
                <w:rFonts w:ascii="Arial Narrow" w:hAnsi="Arial Narrow" w:cs="Arial"/>
                <w:sz w:val="18"/>
                <w:szCs w:val="18"/>
                <w:lang w:val="es-MX"/>
              </w:rPr>
              <w:t>100,00%</w:t>
            </w:r>
          </w:p>
        </w:tc>
        <w:tc>
          <w:tcPr>
            <w:tcW w:w="1074" w:type="pct"/>
          </w:tcPr>
          <w:p w14:paraId="03332292" w14:textId="544B9D57" w:rsidR="00FA5275" w:rsidRPr="00A519A7" w:rsidRDefault="00C33806" w:rsidP="00147775">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MX"/>
              </w:rPr>
            </w:pPr>
            <w:r w:rsidRPr="00A519A7">
              <w:rPr>
                <w:rFonts w:ascii="Arial Narrow" w:hAnsi="Arial Narrow" w:cs="Arial"/>
                <w:sz w:val="18"/>
                <w:szCs w:val="18"/>
                <w:lang w:val="es-MX"/>
              </w:rPr>
              <w:t>Sistema de Gestión y Monitoreo de Actividades -SIGMA-, Unidad Control y Fiscalización de Precursores, ICD.</w:t>
            </w:r>
          </w:p>
        </w:tc>
      </w:tr>
      <w:tr w:rsidR="00002B74" w:rsidRPr="001244AF" w14:paraId="283D789E" w14:textId="77777777" w:rsidTr="001477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2" w:type="pct"/>
          </w:tcPr>
          <w:p w14:paraId="397AD48B" w14:textId="6E3F2F07" w:rsidR="00FA5275" w:rsidRPr="00A519A7" w:rsidRDefault="00FB015B" w:rsidP="00147775">
            <w:pPr>
              <w:spacing w:before="40" w:after="40" w:line="240" w:lineRule="auto"/>
              <w:rPr>
                <w:rFonts w:ascii="Arial Narrow" w:hAnsi="Arial Narrow" w:cs="Arial"/>
                <w:b w:val="0"/>
                <w:sz w:val="18"/>
                <w:szCs w:val="18"/>
                <w:lang w:val="es-ES_tradnl"/>
              </w:rPr>
            </w:pPr>
            <w:r w:rsidRPr="00A519A7">
              <w:rPr>
                <w:rFonts w:ascii="Arial Narrow" w:hAnsi="Arial Narrow" w:cs="Arial"/>
                <w:b w:val="0"/>
                <w:bCs w:val="0"/>
                <w:sz w:val="18"/>
                <w:szCs w:val="18"/>
                <w:lang w:val="es-MX"/>
              </w:rPr>
              <w:t xml:space="preserve">PF. 04. </w:t>
            </w:r>
            <w:r w:rsidR="00526A3D" w:rsidRPr="00A519A7">
              <w:rPr>
                <w:rFonts w:ascii="Arial Narrow" w:hAnsi="Arial Narrow" w:cs="Arial"/>
                <w:b w:val="0"/>
                <w:bCs w:val="0"/>
                <w:sz w:val="18"/>
                <w:szCs w:val="18"/>
                <w:lang w:val="es-MX"/>
              </w:rPr>
              <w:t>Asistencia a organizaciones gubernamentales y no gubernamentales.</w:t>
            </w:r>
          </w:p>
        </w:tc>
        <w:tc>
          <w:tcPr>
            <w:cnfStyle w:val="000010000000" w:firstRow="0" w:lastRow="0" w:firstColumn="0" w:lastColumn="0" w:oddVBand="1" w:evenVBand="0" w:oddHBand="0" w:evenHBand="0" w:firstRowFirstColumn="0" w:firstRowLastColumn="0" w:lastRowFirstColumn="0" w:lastRowLastColumn="0"/>
            <w:tcW w:w="1067" w:type="pct"/>
          </w:tcPr>
          <w:p w14:paraId="3838A5AC" w14:textId="37691087" w:rsidR="00FA5275" w:rsidRPr="00A519A7" w:rsidRDefault="00FA5275" w:rsidP="00147775">
            <w:pPr>
              <w:spacing w:before="40" w:after="40" w:line="240" w:lineRule="auto"/>
              <w:rPr>
                <w:rFonts w:ascii="Arial Narrow" w:hAnsi="Arial Narrow" w:cs="Arial"/>
                <w:sz w:val="18"/>
                <w:szCs w:val="18"/>
                <w:lang w:val="es-ES_tradnl"/>
              </w:rPr>
            </w:pPr>
            <w:r w:rsidRPr="00A519A7">
              <w:rPr>
                <w:rFonts w:ascii="Arial Narrow" w:hAnsi="Arial Narrow" w:cs="Arial"/>
                <w:sz w:val="18"/>
                <w:szCs w:val="18"/>
                <w:lang w:val="es-MX"/>
              </w:rPr>
              <w:t>PF.04.01.</w:t>
            </w:r>
            <w:r w:rsidRPr="00A519A7">
              <w:rPr>
                <w:rFonts w:ascii="Arial Narrow" w:hAnsi="Arial Narrow" w:cs="Arial"/>
                <w:sz w:val="18"/>
                <w:szCs w:val="18"/>
                <w:lang w:val="es-CR"/>
              </w:rPr>
              <w:t xml:space="preserve"> </w:t>
            </w:r>
            <w:r w:rsidRPr="00A519A7">
              <w:rPr>
                <w:rFonts w:ascii="Arial Narrow" w:hAnsi="Arial Narrow" w:cs="Arial"/>
                <w:sz w:val="18"/>
                <w:szCs w:val="18"/>
                <w:lang w:val="es-MX"/>
              </w:rPr>
              <w:t>Porcentaje de actividades realizadas de fortalecimiento del Sistema Nacional de Atención a cargo de las OG y ONG.</w:t>
            </w:r>
          </w:p>
        </w:tc>
        <w:tc>
          <w:tcPr>
            <w:tcW w:w="561" w:type="pct"/>
          </w:tcPr>
          <w:p w14:paraId="703894C4" w14:textId="3C3D570C" w:rsidR="00FA5275" w:rsidRPr="00A519A7" w:rsidRDefault="00FA5275" w:rsidP="00147775">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MX"/>
              </w:rPr>
            </w:pPr>
            <w:r w:rsidRPr="00A519A7">
              <w:rPr>
                <w:rFonts w:ascii="Arial Narrow" w:hAnsi="Arial Narrow" w:cs="Arial"/>
                <w:sz w:val="18"/>
                <w:szCs w:val="18"/>
                <w:lang w:val="es-MX"/>
              </w:rPr>
              <w:t>100,00%</w:t>
            </w:r>
          </w:p>
        </w:tc>
        <w:tc>
          <w:tcPr>
            <w:cnfStyle w:val="000010000000" w:firstRow="0" w:lastRow="0" w:firstColumn="0" w:lastColumn="0" w:oddVBand="1" w:evenVBand="0" w:oddHBand="0" w:evenHBand="0" w:firstRowFirstColumn="0" w:firstRowLastColumn="0" w:lastRowFirstColumn="0" w:lastRowLastColumn="0"/>
            <w:tcW w:w="492" w:type="pct"/>
          </w:tcPr>
          <w:p w14:paraId="45B028E0" w14:textId="5D2CF2B7" w:rsidR="00FA5275" w:rsidRPr="00A519A7" w:rsidRDefault="002F1C31" w:rsidP="00147775">
            <w:pPr>
              <w:spacing w:before="40" w:after="40" w:line="240" w:lineRule="auto"/>
              <w:rPr>
                <w:rFonts w:ascii="Arial Narrow" w:hAnsi="Arial Narrow" w:cs="Arial"/>
                <w:sz w:val="18"/>
                <w:szCs w:val="18"/>
                <w:lang w:val="es-MX"/>
              </w:rPr>
            </w:pPr>
            <w:r w:rsidRPr="00A519A7">
              <w:rPr>
                <w:rFonts w:ascii="Arial Narrow" w:hAnsi="Arial Narrow" w:cs="Arial"/>
                <w:sz w:val="18"/>
                <w:szCs w:val="18"/>
                <w:lang w:val="es-MX"/>
              </w:rPr>
              <w:t>100,00%</w:t>
            </w:r>
          </w:p>
        </w:tc>
        <w:tc>
          <w:tcPr>
            <w:tcW w:w="492" w:type="pct"/>
          </w:tcPr>
          <w:p w14:paraId="121CF504" w14:textId="420199A1" w:rsidR="00FA5275" w:rsidRPr="00A519A7" w:rsidRDefault="00FA5275" w:rsidP="00147775">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MX"/>
              </w:rPr>
            </w:pPr>
            <w:r w:rsidRPr="00A519A7">
              <w:rPr>
                <w:rFonts w:ascii="Arial Narrow" w:hAnsi="Arial Narrow" w:cs="Arial"/>
                <w:sz w:val="18"/>
                <w:szCs w:val="18"/>
                <w:lang w:val="es-MX"/>
              </w:rPr>
              <w:t>50,00%</w:t>
            </w:r>
          </w:p>
        </w:tc>
        <w:tc>
          <w:tcPr>
            <w:cnfStyle w:val="000010000000" w:firstRow="0" w:lastRow="0" w:firstColumn="0" w:lastColumn="0" w:oddVBand="1" w:evenVBand="0" w:oddHBand="0" w:evenHBand="0" w:firstRowFirstColumn="0" w:firstRowLastColumn="0" w:lastRowFirstColumn="0" w:lastRowLastColumn="0"/>
            <w:tcW w:w="492" w:type="pct"/>
          </w:tcPr>
          <w:p w14:paraId="7BF0538C" w14:textId="206850FE" w:rsidR="00FA5275" w:rsidRPr="00A519A7" w:rsidRDefault="002F1C31" w:rsidP="00147775">
            <w:pPr>
              <w:spacing w:before="40" w:after="40" w:line="240" w:lineRule="auto"/>
              <w:rPr>
                <w:rFonts w:ascii="Arial Narrow" w:hAnsi="Arial Narrow" w:cs="Arial"/>
                <w:sz w:val="18"/>
                <w:szCs w:val="18"/>
                <w:lang w:val="es-MX"/>
              </w:rPr>
            </w:pPr>
            <w:r w:rsidRPr="00A519A7">
              <w:rPr>
                <w:rFonts w:ascii="Arial Narrow" w:hAnsi="Arial Narrow" w:cs="Arial"/>
                <w:sz w:val="18"/>
                <w:szCs w:val="18"/>
                <w:lang w:val="es-MX"/>
              </w:rPr>
              <w:t>100,00%</w:t>
            </w:r>
          </w:p>
        </w:tc>
        <w:tc>
          <w:tcPr>
            <w:tcW w:w="1074" w:type="pct"/>
          </w:tcPr>
          <w:p w14:paraId="4DC20B6F" w14:textId="4AC5042B" w:rsidR="00FA5275" w:rsidRPr="00A519A7" w:rsidRDefault="00E915CF" w:rsidP="00147775">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MX"/>
              </w:rPr>
            </w:pPr>
            <w:r w:rsidRPr="00A519A7">
              <w:rPr>
                <w:rFonts w:ascii="Arial Narrow" w:hAnsi="Arial Narrow" w:cs="Arial"/>
                <w:sz w:val="18"/>
                <w:szCs w:val="18"/>
                <w:lang w:val="es-MX"/>
              </w:rPr>
              <w:t>Sistema de Gestión y Monitoreo de Actividades -SIGMA-, Unidad Proyectos de Prevención, ICD.</w:t>
            </w:r>
          </w:p>
        </w:tc>
      </w:tr>
      <w:tr w:rsidR="00002B74" w:rsidRPr="001244AF" w14:paraId="42C1DD64" w14:textId="77777777" w:rsidTr="00147775">
        <w:trPr>
          <w:jc w:val="center"/>
        </w:trPr>
        <w:tc>
          <w:tcPr>
            <w:cnfStyle w:val="001000000000" w:firstRow="0" w:lastRow="0" w:firstColumn="1" w:lastColumn="0" w:oddVBand="0" w:evenVBand="0" w:oddHBand="0" w:evenHBand="0" w:firstRowFirstColumn="0" w:firstRowLastColumn="0" w:lastRowFirstColumn="0" w:lastRowLastColumn="0"/>
            <w:tcW w:w="822" w:type="pct"/>
          </w:tcPr>
          <w:p w14:paraId="5B3D46EF" w14:textId="311C484C" w:rsidR="00652B64" w:rsidRPr="00A519A7" w:rsidRDefault="00652B64" w:rsidP="00147775">
            <w:pPr>
              <w:spacing w:before="40" w:after="40" w:line="240" w:lineRule="auto"/>
              <w:rPr>
                <w:rFonts w:ascii="Arial Narrow" w:hAnsi="Arial Narrow" w:cs="Arial"/>
                <w:b w:val="0"/>
                <w:sz w:val="18"/>
                <w:szCs w:val="18"/>
                <w:lang w:val="es-ES_tradnl"/>
              </w:rPr>
            </w:pPr>
            <w:r w:rsidRPr="00A519A7">
              <w:rPr>
                <w:rFonts w:ascii="Arial Narrow" w:hAnsi="Arial Narrow" w:cs="Arial"/>
                <w:b w:val="0"/>
                <w:bCs w:val="0"/>
                <w:sz w:val="18"/>
                <w:szCs w:val="18"/>
                <w:lang w:val="es-MX"/>
              </w:rPr>
              <w:t>PI. 01.01. Conducción, administración y soporte del ICD.</w:t>
            </w:r>
          </w:p>
        </w:tc>
        <w:tc>
          <w:tcPr>
            <w:cnfStyle w:val="000010000000" w:firstRow="0" w:lastRow="0" w:firstColumn="0" w:lastColumn="0" w:oddVBand="1" w:evenVBand="0" w:oddHBand="0" w:evenHBand="0" w:firstRowFirstColumn="0" w:firstRowLastColumn="0" w:lastRowFirstColumn="0" w:lastRowLastColumn="0"/>
            <w:tcW w:w="1067" w:type="pct"/>
          </w:tcPr>
          <w:p w14:paraId="58D71930" w14:textId="2257301A" w:rsidR="00652B64" w:rsidRPr="00A519A7" w:rsidRDefault="00652B64" w:rsidP="00147775">
            <w:pPr>
              <w:spacing w:before="40" w:after="40" w:line="240" w:lineRule="auto"/>
              <w:rPr>
                <w:rFonts w:ascii="Arial Narrow" w:hAnsi="Arial Narrow" w:cs="Arial"/>
                <w:sz w:val="18"/>
                <w:szCs w:val="18"/>
                <w:lang w:val="es-MX"/>
              </w:rPr>
            </w:pPr>
            <w:r w:rsidRPr="00A519A7">
              <w:rPr>
                <w:rFonts w:ascii="Arial Narrow" w:hAnsi="Arial Narrow" w:cs="Arial"/>
                <w:sz w:val="18"/>
                <w:szCs w:val="18"/>
                <w:lang w:val="es-MX"/>
              </w:rPr>
              <w:t>PI.01.01.01. Porcentaje de comisos de dinero realizados.</w:t>
            </w:r>
          </w:p>
        </w:tc>
        <w:tc>
          <w:tcPr>
            <w:tcW w:w="561" w:type="pct"/>
          </w:tcPr>
          <w:p w14:paraId="4EEE2286" w14:textId="18414BFE" w:rsidR="00652B64" w:rsidRPr="00A519A7" w:rsidRDefault="00652B64" w:rsidP="00147775">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MX"/>
              </w:rPr>
            </w:pPr>
            <w:r w:rsidRPr="00A519A7">
              <w:rPr>
                <w:rFonts w:ascii="Arial Narrow" w:hAnsi="Arial Narrow" w:cs="Arial"/>
                <w:sz w:val="18"/>
                <w:szCs w:val="18"/>
                <w:lang w:val="es-MX"/>
              </w:rPr>
              <w:t>100,00%</w:t>
            </w:r>
          </w:p>
        </w:tc>
        <w:tc>
          <w:tcPr>
            <w:cnfStyle w:val="000010000000" w:firstRow="0" w:lastRow="0" w:firstColumn="0" w:lastColumn="0" w:oddVBand="1" w:evenVBand="0" w:oddHBand="0" w:evenHBand="0" w:firstRowFirstColumn="0" w:firstRowLastColumn="0" w:lastRowFirstColumn="0" w:lastRowLastColumn="0"/>
            <w:tcW w:w="492" w:type="pct"/>
          </w:tcPr>
          <w:p w14:paraId="20AF5196" w14:textId="5D0BB549" w:rsidR="00652B64" w:rsidRPr="00A519A7" w:rsidRDefault="00652B64" w:rsidP="00147775">
            <w:pPr>
              <w:spacing w:before="40" w:after="40" w:line="240" w:lineRule="auto"/>
              <w:rPr>
                <w:rFonts w:ascii="Arial Narrow" w:hAnsi="Arial Narrow" w:cs="Arial"/>
                <w:sz w:val="18"/>
                <w:szCs w:val="18"/>
                <w:lang w:val="es-MX"/>
              </w:rPr>
            </w:pPr>
            <w:r w:rsidRPr="00A519A7">
              <w:rPr>
                <w:rFonts w:ascii="Arial Narrow" w:hAnsi="Arial Narrow" w:cs="Arial"/>
                <w:sz w:val="18"/>
                <w:szCs w:val="18"/>
                <w:lang w:val="es-MX"/>
              </w:rPr>
              <w:t>100,00%</w:t>
            </w:r>
          </w:p>
        </w:tc>
        <w:tc>
          <w:tcPr>
            <w:tcW w:w="492" w:type="pct"/>
          </w:tcPr>
          <w:p w14:paraId="00D9B858" w14:textId="526F7CBF" w:rsidR="00652B64" w:rsidRPr="00A519A7" w:rsidRDefault="00652B64" w:rsidP="00147775">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MX"/>
              </w:rPr>
            </w:pPr>
            <w:r w:rsidRPr="00A519A7">
              <w:rPr>
                <w:rFonts w:ascii="Arial Narrow" w:hAnsi="Arial Narrow" w:cs="Arial"/>
                <w:sz w:val="18"/>
                <w:szCs w:val="18"/>
                <w:lang w:val="es-MX"/>
              </w:rPr>
              <w:t>50,00%</w:t>
            </w:r>
          </w:p>
        </w:tc>
        <w:tc>
          <w:tcPr>
            <w:cnfStyle w:val="000010000000" w:firstRow="0" w:lastRow="0" w:firstColumn="0" w:lastColumn="0" w:oddVBand="1" w:evenVBand="0" w:oddHBand="0" w:evenHBand="0" w:firstRowFirstColumn="0" w:firstRowLastColumn="0" w:lastRowFirstColumn="0" w:lastRowLastColumn="0"/>
            <w:tcW w:w="492" w:type="pct"/>
          </w:tcPr>
          <w:p w14:paraId="3B81BB12" w14:textId="76B82686" w:rsidR="00652B64" w:rsidRPr="00A519A7" w:rsidRDefault="00652B64" w:rsidP="00147775">
            <w:pPr>
              <w:spacing w:before="40" w:after="40" w:line="240" w:lineRule="auto"/>
              <w:rPr>
                <w:rFonts w:ascii="Arial Narrow" w:hAnsi="Arial Narrow" w:cs="Arial"/>
                <w:sz w:val="18"/>
                <w:szCs w:val="18"/>
                <w:lang w:val="es-MX"/>
              </w:rPr>
            </w:pPr>
            <w:r w:rsidRPr="00A519A7">
              <w:rPr>
                <w:rFonts w:ascii="Arial Narrow" w:hAnsi="Arial Narrow" w:cs="Arial"/>
                <w:sz w:val="18"/>
                <w:szCs w:val="18"/>
                <w:lang w:val="es-MX"/>
              </w:rPr>
              <w:t>100,00%</w:t>
            </w:r>
          </w:p>
        </w:tc>
        <w:tc>
          <w:tcPr>
            <w:tcW w:w="1074" w:type="pct"/>
          </w:tcPr>
          <w:p w14:paraId="7AF276BB" w14:textId="2B24673B" w:rsidR="00652B64" w:rsidRPr="00A519A7" w:rsidRDefault="00652B64" w:rsidP="00147775">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MX"/>
              </w:rPr>
            </w:pPr>
            <w:r w:rsidRPr="00A519A7">
              <w:rPr>
                <w:rFonts w:ascii="Arial Narrow" w:hAnsi="Arial Narrow" w:cs="Arial"/>
                <w:sz w:val="18"/>
                <w:szCs w:val="18"/>
                <w:lang w:val="es-MX"/>
              </w:rPr>
              <w:t>Sistema de Gestión y Monitoreo de Actividades -SIGMA-, Unidad Administrativo Financiero, ICD.</w:t>
            </w:r>
          </w:p>
        </w:tc>
      </w:tr>
      <w:tr w:rsidR="00002B74" w:rsidRPr="001244AF" w14:paraId="3AA054F6" w14:textId="77777777" w:rsidTr="001477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2" w:type="pct"/>
          </w:tcPr>
          <w:p w14:paraId="161784EE" w14:textId="7CFDC174" w:rsidR="00652B64" w:rsidRPr="00A519A7" w:rsidRDefault="00652B64" w:rsidP="00147775">
            <w:pPr>
              <w:spacing w:before="40" w:after="40" w:line="240" w:lineRule="auto"/>
              <w:rPr>
                <w:rFonts w:ascii="Arial Narrow" w:hAnsi="Arial Narrow" w:cs="Arial"/>
                <w:sz w:val="18"/>
                <w:szCs w:val="18"/>
                <w:lang w:val="es-MX"/>
              </w:rPr>
            </w:pPr>
            <w:r w:rsidRPr="00A519A7">
              <w:rPr>
                <w:rFonts w:ascii="Arial Narrow" w:hAnsi="Arial Narrow" w:cs="Arial"/>
                <w:b w:val="0"/>
                <w:bCs w:val="0"/>
                <w:sz w:val="18"/>
                <w:szCs w:val="18"/>
                <w:lang w:val="es-MX"/>
              </w:rPr>
              <w:t>PI.02.01 Producción de conocimiento estratégico sobre drogas.</w:t>
            </w:r>
          </w:p>
        </w:tc>
        <w:tc>
          <w:tcPr>
            <w:cnfStyle w:val="000010000000" w:firstRow="0" w:lastRow="0" w:firstColumn="0" w:lastColumn="0" w:oddVBand="1" w:evenVBand="0" w:oddHBand="0" w:evenHBand="0" w:firstRowFirstColumn="0" w:firstRowLastColumn="0" w:lastRowFirstColumn="0" w:lastRowLastColumn="0"/>
            <w:tcW w:w="1067" w:type="pct"/>
          </w:tcPr>
          <w:p w14:paraId="1F5357DC" w14:textId="33E832E4" w:rsidR="00652B64" w:rsidRPr="00A519A7" w:rsidRDefault="00652B64" w:rsidP="00147775">
            <w:pPr>
              <w:spacing w:before="40" w:after="40" w:line="240" w:lineRule="auto"/>
              <w:rPr>
                <w:rFonts w:ascii="Arial Narrow" w:hAnsi="Arial Narrow" w:cs="Arial"/>
                <w:sz w:val="18"/>
                <w:szCs w:val="18"/>
                <w:lang w:val="es-MX"/>
              </w:rPr>
            </w:pPr>
            <w:r w:rsidRPr="00A519A7">
              <w:rPr>
                <w:rFonts w:ascii="Arial Narrow" w:hAnsi="Arial Narrow" w:cs="Arial"/>
                <w:sz w:val="18"/>
                <w:szCs w:val="18"/>
                <w:lang w:val="es-MX"/>
              </w:rPr>
              <w:t>PI.02.01.01. Porcentaje de estudios sociales y epidemiológicos realizados.</w:t>
            </w:r>
          </w:p>
        </w:tc>
        <w:tc>
          <w:tcPr>
            <w:tcW w:w="561" w:type="pct"/>
          </w:tcPr>
          <w:p w14:paraId="5B5E4BA4" w14:textId="1C0D0094" w:rsidR="00652B64" w:rsidRPr="00A519A7" w:rsidRDefault="00652B64" w:rsidP="00147775">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MX"/>
              </w:rPr>
            </w:pPr>
            <w:r w:rsidRPr="00A519A7">
              <w:rPr>
                <w:rFonts w:ascii="Arial Narrow" w:hAnsi="Arial Narrow" w:cs="Arial"/>
                <w:sz w:val="18"/>
                <w:szCs w:val="18"/>
                <w:lang w:val="es-MX"/>
              </w:rPr>
              <w:t>100,00%</w:t>
            </w:r>
          </w:p>
        </w:tc>
        <w:tc>
          <w:tcPr>
            <w:cnfStyle w:val="000010000000" w:firstRow="0" w:lastRow="0" w:firstColumn="0" w:lastColumn="0" w:oddVBand="1" w:evenVBand="0" w:oddHBand="0" w:evenHBand="0" w:firstRowFirstColumn="0" w:firstRowLastColumn="0" w:lastRowFirstColumn="0" w:lastRowLastColumn="0"/>
            <w:tcW w:w="492" w:type="pct"/>
          </w:tcPr>
          <w:p w14:paraId="4B88BFAC" w14:textId="48484118" w:rsidR="00652B64" w:rsidRPr="00A519A7" w:rsidRDefault="00652B64" w:rsidP="00147775">
            <w:pPr>
              <w:spacing w:before="40" w:after="40" w:line="240" w:lineRule="auto"/>
              <w:rPr>
                <w:rFonts w:ascii="Arial Narrow" w:hAnsi="Arial Narrow" w:cs="Arial"/>
                <w:sz w:val="18"/>
                <w:szCs w:val="18"/>
                <w:lang w:val="es-MX"/>
              </w:rPr>
            </w:pPr>
            <w:r w:rsidRPr="00A519A7">
              <w:rPr>
                <w:rFonts w:ascii="Arial Narrow" w:hAnsi="Arial Narrow" w:cs="Arial"/>
                <w:sz w:val="18"/>
                <w:szCs w:val="18"/>
                <w:lang w:val="es-MX"/>
              </w:rPr>
              <w:t>133,</w:t>
            </w:r>
            <w:r w:rsidR="00A519A7" w:rsidRPr="00A519A7">
              <w:rPr>
                <w:rFonts w:ascii="Arial Narrow" w:hAnsi="Arial Narrow" w:cs="Arial"/>
                <w:sz w:val="18"/>
                <w:szCs w:val="18"/>
                <w:lang w:val="es-MX"/>
              </w:rPr>
              <w:t>33</w:t>
            </w:r>
            <w:r w:rsidRPr="00A519A7">
              <w:rPr>
                <w:rFonts w:ascii="Arial Narrow" w:hAnsi="Arial Narrow" w:cs="Arial"/>
                <w:sz w:val="18"/>
                <w:szCs w:val="18"/>
                <w:lang w:val="es-MX"/>
              </w:rPr>
              <w:t>%</w:t>
            </w:r>
          </w:p>
        </w:tc>
        <w:tc>
          <w:tcPr>
            <w:tcW w:w="492" w:type="pct"/>
          </w:tcPr>
          <w:p w14:paraId="582E154E" w14:textId="5332C9A1" w:rsidR="00652B64" w:rsidRPr="00A519A7" w:rsidRDefault="009765E6" w:rsidP="00147775">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MX"/>
              </w:rPr>
            </w:pPr>
            <w:r>
              <w:rPr>
                <w:rFonts w:ascii="Arial Narrow" w:hAnsi="Arial Narrow" w:cs="Arial"/>
                <w:sz w:val="18"/>
                <w:szCs w:val="18"/>
                <w:lang w:val="es-MX"/>
              </w:rPr>
              <w:t>-</w:t>
            </w:r>
          </w:p>
        </w:tc>
        <w:tc>
          <w:tcPr>
            <w:cnfStyle w:val="000010000000" w:firstRow="0" w:lastRow="0" w:firstColumn="0" w:lastColumn="0" w:oddVBand="1" w:evenVBand="0" w:oddHBand="0" w:evenHBand="0" w:firstRowFirstColumn="0" w:firstRowLastColumn="0" w:lastRowFirstColumn="0" w:lastRowLastColumn="0"/>
            <w:tcW w:w="492" w:type="pct"/>
          </w:tcPr>
          <w:p w14:paraId="7AF439C8" w14:textId="36E913E5" w:rsidR="00652B64" w:rsidRPr="00A519A7" w:rsidRDefault="00652B64" w:rsidP="00147775">
            <w:pPr>
              <w:spacing w:before="40" w:after="40" w:line="240" w:lineRule="auto"/>
              <w:rPr>
                <w:rFonts w:ascii="Arial Narrow" w:hAnsi="Arial Narrow" w:cs="Arial"/>
                <w:sz w:val="18"/>
                <w:szCs w:val="18"/>
                <w:lang w:val="es-MX"/>
              </w:rPr>
            </w:pPr>
            <w:r w:rsidRPr="00A519A7">
              <w:rPr>
                <w:rFonts w:ascii="Arial Narrow" w:hAnsi="Arial Narrow" w:cs="Arial"/>
                <w:sz w:val="18"/>
                <w:szCs w:val="18"/>
                <w:lang w:val="es-MX"/>
              </w:rPr>
              <w:t>1</w:t>
            </w:r>
            <w:r w:rsidR="00A519A7" w:rsidRPr="00A519A7">
              <w:rPr>
                <w:rFonts w:ascii="Arial Narrow" w:hAnsi="Arial Narrow" w:cs="Arial"/>
                <w:sz w:val="18"/>
                <w:szCs w:val="18"/>
                <w:lang w:val="es-MX"/>
              </w:rPr>
              <w:t>33</w:t>
            </w:r>
            <w:r w:rsidRPr="00A519A7">
              <w:rPr>
                <w:rFonts w:ascii="Arial Narrow" w:hAnsi="Arial Narrow" w:cs="Arial"/>
                <w:sz w:val="18"/>
                <w:szCs w:val="18"/>
                <w:lang w:val="es-MX"/>
              </w:rPr>
              <w:t>,</w:t>
            </w:r>
            <w:r w:rsidR="00A519A7" w:rsidRPr="00A519A7">
              <w:rPr>
                <w:rFonts w:ascii="Arial Narrow" w:hAnsi="Arial Narrow" w:cs="Arial"/>
                <w:sz w:val="18"/>
                <w:szCs w:val="18"/>
                <w:lang w:val="es-MX"/>
              </w:rPr>
              <w:t>33</w:t>
            </w:r>
            <w:r w:rsidRPr="00A519A7">
              <w:rPr>
                <w:rFonts w:ascii="Arial Narrow" w:hAnsi="Arial Narrow" w:cs="Arial"/>
                <w:sz w:val="18"/>
                <w:szCs w:val="18"/>
                <w:lang w:val="es-MX"/>
              </w:rPr>
              <w:t>%</w:t>
            </w:r>
          </w:p>
        </w:tc>
        <w:tc>
          <w:tcPr>
            <w:tcW w:w="1074" w:type="pct"/>
          </w:tcPr>
          <w:p w14:paraId="0659B5CE" w14:textId="5A6F4122" w:rsidR="00652B64" w:rsidRPr="00A519A7" w:rsidRDefault="00652B64" w:rsidP="00147775">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es-MX"/>
              </w:rPr>
            </w:pPr>
            <w:r w:rsidRPr="00A519A7">
              <w:rPr>
                <w:rFonts w:ascii="Arial Narrow" w:hAnsi="Arial Narrow" w:cs="Arial"/>
                <w:sz w:val="18"/>
                <w:szCs w:val="18"/>
                <w:lang w:val="es-MX"/>
              </w:rPr>
              <w:t>Sistema de Gestión y Monitoreo de Actividades -SIGMA-, Unidad Información y Estadística, ICD.</w:t>
            </w:r>
          </w:p>
        </w:tc>
      </w:tr>
      <w:tr w:rsidR="00002B74" w:rsidRPr="001244AF" w14:paraId="6F3ED86B" w14:textId="77777777" w:rsidTr="00147775">
        <w:trPr>
          <w:jc w:val="center"/>
        </w:trPr>
        <w:tc>
          <w:tcPr>
            <w:cnfStyle w:val="001000000000" w:firstRow="0" w:lastRow="0" w:firstColumn="1" w:lastColumn="0" w:oddVBand="0" w:evenVBand="0" w:oddHBand="0" w:evenHBand="0" w:firstRowFirstColumn="0" w:firstRowLastColumn="0" w:lastRowFirstColumn="0" w:lastRowLastColumn="0"/>
            <w:tcW w:w="822" w:type="pct"/>
          </w:tcPr>
          <w:p w14:paraId="0C9F7263" w14:textId="3F042B03" w:rsidR="00FA5275" w:rsidRPr="00A519A7" w:rsidRDefault="00FB015B" w:rsidP="00147775">
            <w:pPr>
              <w:spacing w:before="40" w:after="40" w:line="240" w:lineRule="auto"/>
              <w:rPr>
                <w:rFonts w:ascii="Arial Narrow" w:hAnsi="Arial Narrow" w:cs="Arial"/>
                <w:sz w:val="18"/>
                <w:szCs w:val="18"/>
                <w:lang w:val="es-MX"/>
              </w:rPr>
            </w:pPr>
            <w:r w:rsidRPr="00A519A7">
              <w:rPr>
                <w:rFonts w:ascii="Arial Narrow" w:hAnsi="Arial Narrow" w:cs="Arial"/>
                <w:b w:val="0"/>
                <w:bCs w:val="0"/>
                <w:sz w:val="18"/>
                <w:szCs w:val="18"/>
                <w:lang w:val="es-MX"/>
              </w:rPr>
              <w:t>PI.03.01 Atención a consultas para investigaciones policiales.</w:t>
            </w:r>
          </w:p>
        </w:tc>
        <w:tc>
          <w:tcPr>
            <w:cnfStyle w:val="000010000000" w:firstRow="0" w:lastRow="0" w:firstColumn="0" w:lastColumn="0" w:oddVBand="1" w:evenVBand="0" w:oddHBand="0" w:evenHBand="0" w:firstRowFirstColumn="0" w:firstRowLastColumn="0" w:lastRowFirstColumn="0" w:lastRowLastColumn="0"/>
            <w:tcW w:w="1067" w:type="pct"/>
          </w:tcPr>
          <w:p w14:paraId="5BF3E700" w14:textId="590183D8" w:rsidR="00FA5275" w:rsidRPr="00A519A7" w:rsidRDefault="00FA5275" w:rsidP="00147775">
            <w:pPr>
              <w:spacing w:before="40" w:after="40" w:line="240" w:lineRule="auto"/>
              <w:rPr>
                <w:rFonts w:ascii="Arial Narrow" w:hAnsi="Arial Narrow" w:cs="Arial"/>
                <w:sz w:val="18"/>
                <w:szCs w:val="18"/>
                <w:lang w:val="es-MX"/>
              </w:rPr>
            </w:pPr>
            <w:r w:rsidRPr="00A519A7">
              <w:rPr>
                <w:rFonts w:ascii="Arial Narrow" w:hAnsi="Arial Narrow" w:cs="Arial"/>
                <w:sz w:val="18"/>
                <w:szCs w:val="18"/>
                <w:lang w:val="es-MX"/>
              </w:rPr>
              <w:t>PI.03.01.01. Porcentaje de datos certificados.</w:t>
            </w:r>
          </w:p>
        </w:tc>
        <w:tc>
          <w:tcPr>
            <w:tcW w:w="561" w:type="pct"/>
          </w:tcPr>
          <w:p w14:paraId="36F1DD31" w14:textId="39DBF52C" w:rsidR="00FA5275" w:rsidRPr="00A519A7" w:rsidRDefault="00FA5275" w:rsidP="00147775">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MX"/>
              </w:rPr>
            </w:pPr>
            <w:r w:rsidRPr="00A519A7">
              <w:rPr>
                <w:rFonts w:ascii="Arial Narrow" w:hAnsi="Arial Narrow" w:cs="Arial"/>
                <w:sz w:val="18"/>
                <w:szCs w:val="18"/>
                <w:lang w:val="es-MX"/>
              </w:rPr>
              <w:t>100,00%</w:t>
            </w:r>
          </w:p>
        </w:tc>
        <w:tc>
          <w:tcPr>
            <w:cnfStyle w:val="000010000000" w:firstRow="0" w:lastRow="0" w:firstColumn="0" w:lastColumn="0" w:oddVBand="1" w:evenVBand="0" w:oddHBand="0" w:evenHBand="0" w:firstRowFirstColumn="0" w:firstRowLastColumn="0" w:lastRowFirstColumn="0" w:lastRowLastColumn="0"/>
            <w:tcW w:w="492" w:type="pct"/>
          </w:tcPr>
          <w:p w14:paraId="77BF73BE" w14:textId="26AD019F" w:rsidR="00FA5275" w:rsidRPr="00A519A7" w:rsidRDefault="00A519A7" w:rsidP="00147775">
            <w:pPr>
              <w:spacing w:before="40" w:after="40" w:line="240" w:lineRule="auto"/>
              <w:rPr>
                <w:rFonts w:ascii="Arial Narrow" w:hAnsi="Arial Narrow" w:cs="Arial"/>
                <w:sz w:val="18"/>
                <w:szCs w:val="18"/>
                <w:lang w:val="es-MX"/>
              </w:rPr>
            </w:pPr>
            <w:r w:rsidRPr="00A519A7">
              <w:rPr>
                <w:rFonts w:ascii="Arial Narrow" w:hAnsi="Arial Narrow" w:cs="Arial"/>
                <w:sz w:val="18"/>
                <w:szCs w:val="18"/>
                <w:lang w:val="es-MX"/>
              </w:rPr>
              <w:t>100,00%</w:t>
            </w:r>
          </w:p>
        </w:tc>
        <w:tc>
          <w:tcPr>
            <w:tcW w:w="492" w:type="pct"/>
          </w:tcPr>
          <w:p w14:paraId="06C84327" w14:textId="2BB284F2" w:rsidR="00FA5275" w:rsidRPr="00A519A7" w:rsidRDefault="00FA5275" w:rsidP="00147775">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MX"/>
              </w:rPr>
            </w:pPr>
            <w:r w:rsidRPr="00A519A7">
              <w:rPr>
                <w:rFonts w:ascii="Arial Narrow" w:hAnsi="Arial Narrow" w:cs="Arial"/>
                <w:sz w:val="18"/>
                <w:szCs w:val="18"/>
                <w:lang w:val="es-MX"/>
              </w:rPr>
              <w:t>50,00%</w:t>
            </w:r>
          </w:p>
        </w:tc>
        <w:tc>
          <w:tcPr>
            <w:cnfStyle w:val="000010000000" w:firstRow="0" w:lastRow="0" w:firstColumn="0" w:lastColumn="0" w:oddVBand="1" w:evenVBand="0" w:oddHBand="0" w:evenHBand="0" w:firstRowFirstColumn="0" w:firstRowLastColumn="0" w:lastRowFirstColumn="0" w:lastRowLastColumn="0"/>
            <w:tcW w:w="492" w:type="pct"/>
          </w:tcPr>
          <w:p w14:paraId="4BC4DDD9" w14:textId="56240AE6" w:rsidR="00FA5275" w:rsidRPr="00A519A7" w:rsidRDefault="00A519A7" w:rsidP="00147775">
            <w:pPr>
              <w:spacing w:before="40" w:after="40" w:line="240" w:lineRule="auto"/>
              <w:rPr>
                <w:rFonts w:ascii="Arial Narrow" w:hAnsi="Arial Narrow" w:cs="Arial"/>
                <w:sz w:val="18"/>
                <w:szCs w:val="18"/>
                <w:lang w:val="es-MX"/>
              </w:rPr>
            </w:pPr>
            <w:r w:rsidRPr="00A519A7">
              <w:rPr>
                <w:rFonts w:ascii="Arial Narrow" w:hAnsi="Arial Narrow" w:cs="Arial"/>
                <w:sz w:val="18"/>
                <w:szCs w:val="18"/>
                <w:lang w:val="es-MX"/>
              </w:rPr>
              <w:t>100,00%</w:t>
            </w:r>
          </w:p>
        </w:tc>
        <w:tc>
          <w:tcPr>
            <w:tcW w:w="1074" w:type="pct"/>
          </w:tcPr>
          <w:p w14:paraId="5A7FADE4" w14:textId="775AC497" w:rsidR="00FA5275" w:rsidRPr="00A519A7" w:rsidRDefault="00C52B28" w:rsidP="00147775">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MX"/>
              </w:rPr>
            </w:pPr>
            <w:r w:rsidRPr="00A519A7">
              <w:rPr>
                <w:rFonts w:ascii="Arial Narrow" w:hAnsi="Arial Narrow" w:cs="Arial"/>
                <w:sz w:val="18"/>
                <w:szCs w:val="18"/>
                <w:lang w:val="es-MX"/>
              </w:rPr>
              <w:t>Sistema de Gestión y Monitoreo de Actividades -SIGMA-, Unidad Registros y Consultas, ICD.</w:t>
            </w:r>
          </w:p>
        </w:tc>
      </w:tr>
    </w:tbl>
    <w:p w14:paraId="2FB3DE65" w14:textId="525685D1" w:rsidR="00C52B28" w:rsidRDefault="00886333" w:rsidP="00FA5275">
      <w:pPr>
        <w:contextualSpacing/>
        <w:jc w:val="center"/>
        <w:rPr>
          <w:rFonts w:ascii="Arial" w:hAnsi="Arial" w:cs="Arial"/>
          <w:sz w:val="16"/>
          <w:szCs w:val="20"/>
        </w:rPr>
      </w:pPr>
      <w:r w:rsidRPr="001468C9">
        <w:rPr>
          <w:rFonts w:ascii="Arial" w:hAnsi="Arial" w:cs="Arial"/>
          <w:b/>
          <w:sz w:val="16"/>
          <w:szCs w:val="16"/>
          <w:lang w:val="es-ES_tradnl"/>
        </w:rPr>
        <w:t>F</w:t>
      </w:r>
      <w:r w:rsidR="00FE11E2" w:rsidRPr="001468C9">
        <w:rPr>
          <w:rFonts w:ascii="Arial" w:hAnsi="Arial" w:cs="Arial"/>
          <w:b/>
          <w:sz w:val="16"/>
          <w:szCs w:val="16"/>
          <w:lang w:val="es-ES_tradnl"/>
        </w:rPr>
        <w:t>uente</w:t>
      </w:r>
      <w:r w:rsidR="00FE11E2" w:rsidRPr="001468C9">
        <w:rPr>
          <w:rFonts w:ascii="Arial" w:hAnsi="Arial" w:cs="Arial"/>
          <w:sz w:val="16"/>
          <w:szCs w:val="16"/>
          <w:lang w:val="es-ES_tradnl"/>
        </w:rPr>
        <w:t xml:space="preserve">: </w:t>
      </w:r>
      <w:r w:rsidR="00C52B28" w:rsidRPr="009123BB">
        <w:rPr>
          <w:rFonts w:ascii="Arial" w:hAnsi="Arial" w:cs="Arial"/>
          <w:sz w:val="16"/>
          <w:szCs w:val="20"/>
        </w:rPr>
        <w:t xml:space="preserve">Informe de seguimiento </w:t>
      </w:r>
      <w:r w:rsidR="004C5D2D">
        <w:rPr>
          <w:rFonts w:ascii="Arial" w:hAnsi="Arial" w:cs="Arial"/>
          <w:sz w:val="16"/>
          <w:szCs w:val="20"/>
        </w:rPr>
        <w:t xml:space="preserve">del </w:t>
      </w:r>
      <w:r w:rsidR="00C52B28" w:rsidRPr="009123BB">
        <w:rPr>
          <w:rFonts w:ascii="Arial" w:hAnsi="Arial" w:cs="Arial"/>
          <w:sz w:val="16"/>
          <w:szCs w:val="20"/>
        </w:rPr>
        <w:t>SIGMA ICD Portal, 2021</w:t>
      </w:r>
      <w:r w:rsidR="004C5D2D">
        <w:rPr>
          <w:rFonts w:ascii="Arial" w:hAnsi="Arial" w:cs="Arial"/>
          <w:sz w:val="16"/>
          <w:szCs w:val="20"/>
        </w:rPr>
        <w:t xml:space="preserve"> y correos institucionales</w:t>
      </w:r>
      <w:r w:rsidR="00C52B28" w:rsidRPr="009123BB">
        <w:rPr>
          <w:rFonts w:ascii="Arial" w:hAnsi="Arial" w:cs="Arial"/>
          <w:sz w:val="16"/>
          <w:szCs w:val="20"/>
        </w:rPr>
        <w:t>.</w:t>
      </w:r>
    </w:p>
    <w:p w14:paraId="593AA817" w14:textId="77777777" w:rsidR="007E3B60" w:rsidRDefault="007E3B60">
      <w:pPr>
        <w:rPr>
          <w:rFonts w:ascii="Arial" w:hAnsi="Arial" w:cs="Arial"/>
          <w:b/>
          <w:bCs/>
          <w:sz w:val="20"/>
          <w:szCs w:val="20"/>
        </w:rPr>
      </w:pPr>
      <w:r>
        <w:rPr>
          <w:rFonts w:ascii="Arial" w:hAnsi="Arial" w:cs="Arial"/>
          <w:b/>
          <w:bCs/>
          <w:sz w:val="20"/>
          <w:szCs w:val="20"/>
        </w:rPr>
        <w:br w:type="page"/>
      </w:r>
    </w:p>
    <w:p w14:paraId="119D2B49" w14:textId="12751509" w:rsidR="006F1409" w:rsidRDefault="006F1409" w:rsidP="00C11C32">
      <w:pPr>
        <w:spacing w:before="240" w:line="360" w:lineRule="auto"/>
        <w:jc w:val="both"/>
        <w:rPr>
          <w:rFonts w:ascii="Arial" w:hAnsi="Arial" w:cs="Arial"/>
          <w:sz w:val="20"/>
          <w:szCs w:val="20"/>
        </w:rPr>
      </w:pPr>
      <w:r w:rsidRPr="00235C01">
        <w:rPr>
          <w:rFonts w:ascii="Arial" w:hAnsi="Arial" w:cs="Arial"/>
          <w:b/>
          <w:bCs/>
          <w:sz w:val="20"/>
          <w:szCs w:val="20"/>
        </w:rPr>
        <w:lastRenderedPageBreak/>
        <w:t>PF.01.01. Porcentaje de ventas de bienes decomisados y comisados realizadas</w:t>
      </w:r>
      <w:r>
        <w:rPr>
          <w:rFonts w:ascii="Arial" w:hAnsi="Arial" w:cs="Arial"/>
          <w:sz w:val="20"/>
          <w:szCs w:val="20"/>
        </w:rPr>
        <w:t xml:space="preserve">: </w:t>
      </w:r>
      <w:r w:rsidR="00432D0C">
        <w:rPr>
          <w:rFonts w:ascii="Arial" w:hAnsi="Arial" w:cs="Arial"/>
          <w:sz w:val="20"/>
          <w:szCs w:val="20"/>
        </w:rPr>
        <w:t>Durante el período se lograron realizar la totalidad de subastas programadas</w:t>
      </w:r>
      <w:r w:rsidR="00092493">
        <w:rPr>
          <w:rFonts w:ascii="Arial" w:hAnsi="Arial" w:cs="Arial"/>
          <w:sz w:val="20"/>
          <w:szCs w:val="20"/>
        </w:rPr>
        <w:t xml:space="preserve">, proceso </w:t>
      </w:r>
      <w:r w:rsidR="00313D85">
        <w:rPr>
          <w:rFonts w:ascii="Arial" w:hAnsi="Arial" w:cs="Arial"/>
          <w:sz w:val="20"/>
          <w:szCs w:val="20"/>
        </w:rPr>
        <w:t>exhaustivo que implicó entre otras acciones, peritajes para la valoración de los bienes,</w:t>
      </w:r>
      <w:r w:rsidR="001230A7">
        <w:rPr>
          <w:rFonts w:ascii="Arial" w:hAnsi="Arial" w:cs="Arial"/>
          <w:sz w:val="20"/>
          <w:szCs w:val="20"/>
        </w:rPr>
        <w:t xml:space="preserve"> convocatoria a través del sitio web,</w:t>
      </w:r>
      <w:r w:rsidR="00313D85">
        <w:rPr>
          <w:rFonts w:ascii="Arial" w:hAnsi="Arial" w:cs="Arial"/>
          <w:sz w:val="20"/>
          <w:szCs w:val="20"/>
        </w:rPr>
        <w:t xml:space="preserve"> remisión de </w:t>
      </w:r>
      <w:r w:rsidR="00092493">
        <w:rPr>
          <w:rFonts w:ascii="Arial" w:hAnsi="Arial" w:cs="Arial"/>
          <w:sz w:val="20"/>
          <w:szCs w:val="20"/>
        </w:rPr>
        <w:t xml:space="preserve">invitaciones públicas, </w:t>
      </w:r>
      <w:r w:rsidR="00313D85">
        <w:rPr>
          <w:rFonts w:ascii="Arial" w:hAnsi="Arial" w:cs="Arial"/>
          <w:sz w:val="20"/>
          <w:szCs w:val="20"/>
        </w:rPr>
        <w:t xml:space="preserve">análisis del </w:t>
      </w:r>
      <w:r w:rsidR="00092493">
        <w:rPr>
          <w:rFonts w:ascii="Arial" w:hAnsi="Arial" w:cs="Arial"/>
          <w:sz w:val="20"/>
          <w:szCs w:val="20"/>
        </w:rPr>
        <w:t>perfil de cada participante</w:t>
      </w:r>
      <w:r w:rsidR="00313D85">
        <w:rPr>
          <w:rFonts w:ascii="Arial" w:hAnsi="Arial" w:cs="Arial"/>
          <w:sz w:val="20"/>
          <w:szCs w:val="20"/>
        </w:rPr>
        <w:t>,</w:t>
      </w:r>
      <w:r w:rsidR="009B51D3">
        <w:rPr>
          <w:rFonts w:ascii="Arial" w:hAnsi="Arial" w:cs="Arial"/>
          <w:sz w:val="20"/>
          <w:szCs w:val="20"/>
        </w:rPr>
        <w:t xml:space="preserve"> gestión de las subastas,</w:t>
      </w:r>
      <w:r w:rsidR="00313D85">
        <w:rPr>
          <w:rFonts w:ascii="Arial" w:hAnsi="Arial" w:cs="Arial"/>
          <w:sz w:val="20"/>
          <w:szCs w:val="20"/>
        </w:rPr>
        <w:t xml:space="preserve"> </w:t>
      </w:r>
      <w:r w:rsidR="009B51D3">
        <w:rPr>
          <w:rFonts w:ascii="Arial" w:hAnsi="Arial" w:cs="Arial"/>
          <w:sz w:val="20"/>
          <w:szCs w:val="20"/>
        </w:rPr>
        <w:t>atención de apelaciones, entre otros.</w:t>
      </w:r>
      <w:r w:rsidR="00C4521C">
        <w:rPr>
          <w:rFonts w:ascii="Arial" w:hAnsi="Arial" w:cs="Arial"/>
          <w:sz w:val="20"/>
          <w:szCs w:val="20"/>
        </w:rPr>
        <w:t xml:space="preserve"> La realización de estas ventas permite generar recursos económicos al Estado para destinarlos a la prevención y tra</w:t>
      </w:r>
      <w:r w:rsidR="00916872">
        <w:rPr>
          <w:rFonts w:ascii="Arial" w:hAnsi="Arial" w:cs="Arial"/>
          <w:sz w:val="20"/>
          <w:szCs w:val="20"/>
        </w:rPr>
        <w:t>t</w:t>
      </w:r>
      <w:r w:rsidR="00C4521C">
        <w:rPr>
          <w:rFonts w:ascii="Arial" w:hAnsi="Arial" w:cs="Arial"/>
          <w:sz w:val="20"/>
          <w:szCs w:val="20"/>
        </w:rPr>
        <w:t xml:space="preserve">amiento del consumo de </w:t>
      </w:r>
      <w:r w:rsidR="00916872">
        <w:rPr>
          <w:rFonts w:ascii="Arial" w:hAnsi="Arial" w:cs="Arial"/>
          <w:sz w:val="20"/>
          <w:szCs w:val="20"/>
        </w:rPr>
        <w:t>sustancias psicoactivas</w:t>
      </w:r>
      <w:r w:rsidR="00C4521C">
        <w:rPr>
          <w:rFonts w:ascii="Arial" w:hAnsi="Arial" w:cs="Arial"/>
          <w:sz w:val="20"/>
          <w:szCs w:val="20"/>
        </w:rPr>
        <w:t>, así como al a prevención del delito de tr</w:t>
      </w:r>
      <w:r w:rsidR="00916872">
        <w:rPr>
          <w:rFonts w:ascii="Arial" w:hAnsi="Arial" w:cs="Arial"/>
          <w:sz w:val="20"/>
          <w:szCs w:val="20"/>
        </w:rPr>
        <w:t>á</w:t>
      </w:r>
      <w:r w:rsidR="00C4521C">
        <w:rPr>
          <w:rFonts w:ascii="Arial" w:hAnsi="Arial" w:cs="Arial"/>
          <w:sz w:val="20"/>
          <w:szCs w:val="20"/>
        </w:rPr>
        <w:t>fico il</w:t>
      </w:r>
      <w:r w:rsidR="00916872">
        <w:rPr>
          <w:rFonts w:ascii="Arial" w:hAnsi="Arial" w:cs="Arial"/>
          <w:sz w:val="20"/>
          <w:szCs w:val="20"/>
        </w:rPr>
        <w:t>íci</w:t>
      </w:r>
      <w:r w:rsidR="00C4521C">
        <w:rPr>
          <w:rFonts w:ascii="Arial" w:hAnsi="Arial" w:cs="Arial"/>
          <w:sz w:val="20"/>
          <w:szCs w:val="20"/>
        </w:rPr>
        <w:t>to</w:t>
      </w:r>
      <w:r w:rsidR="00916872">
        <w:rPr>
          <w:rFonts w:ascii="Arial" w:hAnsi="Arial" w:cs="Arial"/>
          <w:sz w:val="20"/>
          <w:szCs w:val="20"/>
        </w:rPr>
        <w:t xml:space="preserve"> de drogas y actividades conexas.</w:t>
      </w:r>
    </w:p>
    <w:p w14:paraId="55924192" w14:textId="54048568" w:rsidR="006F1409" w:rsidRPr="00687264" w:rsidRDefault="006F1409" w:rsidP="006F1409">
      <w:pPr>
        <w:spacing w:line="360" w:lineRule="auto"/>
        <w:jc w:val="both"/>
        <w:rPr>
          <w:rFonts w:ascii="Arial" w:hAnsi="Arial" w:cs="Arial"/>
          <w:sz w:val="20"/>
          <w:szCs w:val="20"/>
          <w:lang w:val="es-MX"/>
        </w:rPr>
      </w:pPr>
      <w:r w:rsidRPr="00222AF3">
        <w:rPr>
          <w:rFonts w:ascii="Arial" w:hAnsi="Arial" w:cs="Arial"/>
          <w:b/>
          <w:bCs/>
          <w:sz w:val="20"/>
          <w:szCs w:val="20"/>
        </w:rPr>
        <w:t>PF.02.01. Porcentaje de avance de las etapas contempladas en la Estrategia Nacional de Lucha contra la Legitimación de Capitales</w:t>
      </w:r>
      <w:r w:rsidR="009B51D3">
        <w:rPr>
          <w:rFonts w:ascii="Arial" w:hAnsi="Arial" w:cs="Arial"/>
          <w:sz w:val="20"/>
          <w:szCs w:val="20"/>
        </w:rPr>
        <w:t xml:space="preserve">: </w:t>
      </w:r>
      <w:r w:rsidR="0050372D">
        <w:rPr>
          <w:rFonts w:ascii="Arial" w:hAnsi="Arial" w:cs="Arial"/>
          <w:sz w:val="20"/>
          <w:szCs w:val="20"/>
        </w:rPr>
        <w:t>Este indicador se cumplió satisfactoriamente</w:t>
      </w:r>
      <w:r w:rsidR="00687264">
        <w:rPr>
          <w:rFonts w:ascii="Arial" w:hAnsi="Arial" w:cs="Arial"/>
          <w:sz w:val="20"/>
          <w:szCs w:val="20"/>
        </w:rPr>
        <w:t xml:space="preserve"> al elaborarse una </w:t>
      </w:r>
      <w:r w:rsidR="00687264" w:rsidRPr="00687264">
        <w:rPr>
          <w:rFonts w:ascii="Arial" w:hAnsi="Arial" w:cs="Arial"/>
          <w:sz w:val="20"/>
          <w:szCs w:val="20"/>
        </w:rPr>
        <w:t>propuesta de mitigadores,</w:t>
      </w:r>
      <w:r w:rsidR="009A1939">
        <w:rPr>
          <w:rFonts w:ascii="Arial" w:hAnsi="Arial" w:cs="Arial"/>
          <w:sz w:val="20"/>
          <w:szCs w:val="20"/>
        </w:rPr>
        <w:t xml:space="preserve"> un </w:t>
      </w:r>
      <w:r w:rsidR="009A1939" w:rsidRPr="009A1939">
        <w:rPr>
          <w:rFonts w:ascii="Arial" w:hAnsi="Arial" w:cs="Arial"/>
          <w:sz w:val="20"/>
          <w:szCs w:val="20"/>
        </w:rPr>
        <w:t>Decreto Ejecutivo para la implementación de un Enfoque Basado en Riesgos (EBR)</w:t>
      </w:r>
      <w:r w:rsidR="00C54C79">
        <w:rPr>
          <w:rFonts w:ascii="Arial" w:hAnsi="Arial" w:cs="Arial"/>
          <w:sz w:val="20"/>
          <w:szCs w:val="20"/>
        </w:rPr>
        <w:t>, así como en el seguimiento de las acciones de mitigación del riesgo</w:t>
      </w:r>
      <w:r w:rsidR="00655F60">
        <w:rPr>
          <w:rFonts w:ascii="Arial" w:hAnsi="Arial" w:cs="Arial"/>
          <w:sz w:val="20"/>
          <w:szCs w:val="20"/>
        </w:rPr>
        <w:t xml:space="preserve"> llevadas a cabo de manera interinstitucional e intersectorial</w:t>
      </w:r>
      <w:r w:rsidR="00300E9E">
        <w:rPr>
          <w:rFonts w:ascii="Arial" w:hAnsi="Arial" w:cs="Arial"/>
          <w:sz w:val="20"/>
          <w:szCs w:val="20"/>
        </w:rPr>
        <w:t>.</w:t>
      </w:r>
      <w:r w:rsidR="00B2476F">
        <w:rPr>
          <w:rFonts w:ascii="Arial" w:hAnsi="Arial" w:cs="Arial"/>
          <w:sz w:val="20"/>
          <w:szCs w:val="20"/>
        </w:rPr>
        <w:t xml:space="preserve"> Este indicador es de gran importancia</w:t>
      </w:r>
      <w:r w:rsidR="00E16E4E">
        <w:rPr>
          <w:rFonts w:ascii="Arial" w:hAnsi="Arial" w:cs="Arial"/>
          <w:sz w:val="20"/>
          <w:szCs w:val="20"/>
        </w:rPr>
        <w:t xml:space="preserve"> dado que mide el avance de la Estrategia de referencia, instrumento </w:t>
      </w:r>
      <w:r w:rsidR="007C24D0">
        <w:rPr>
          <w:rFonts w:ascii="Arial" w:hAnsi="Arial" w:cs="Arial"/>
          <w:sz w:val="20"/>
          <w:szCs w:val="20"/>
        </w:rPr>
        <w:t xml:space="preserve">para el tratamiento de riesgos </w:t>
      </w:r>
      <w:r w:rsidR="000153FD">
        <w:rPr>
          <w:rFonts w:ascii="Arial" w:hAnsi="Arial" w:cs="Arial"/>
          <w:sz w:val="20"/>
          <w:szCs w:val="20"/>
        </w:rPr>
        <w:t xml:space="preserve">nacionales y </w:t>
      </w:r>
      <w:r w:rsidR="007C24D0">
        <w:rPr>
          <w:rFonts w:ascii="Arial" w:hAnsi="Arial" w:cs="Arial"/>
          <w:sz w:val="20"/>
          <w:szCs w:val="20"/>
        </w:rPr>
        <w:t>trasnacionales en materia de legitimación de capitales y financiamiento al terrorismo.</w:t>
      </w:r>
    </w:p>
    <w:p w14:paraId="66EA64C4" w14:textId="363492D2" w:rsidR="006F1409" w:rsidRPr="006F1409" w:rsidRDefault="006F1409" w:rsidP="00843A7B">
      <w:pPr>
        <w:spacing w:line="360" w:lineRule="auto"/>
        <w:jc w:val="both"/>
        <w:rPr>
          <w:rFonts w:ascii="Arial" w:hAnsi="Arial" w:cs="Arial"/>
          <w:sz w:val="20"/>
          <w:szCs w:val="20"/>
        </w:rPr>
      </w:pPr>
      <w:r w:rsidRPr="00222AF3">
        <w:rPr>
          <w:rFonts w:ascii="Arial" w:hAnsi="Arial" w:cs="Arial"/>
          <w:b/>
          <w:bCs/>
          <w:sz w:val="20"/>
          <w:szCs w:val="20"/>
        </w:rPr>
        <w:t>PF.02.02. Porcentaje de reportes de operaciones sospechas -ROS- valorados</w:t>
      </w:r>
      <w:r w:rsidR="00300E9E">
        <w:rPr>
          <w:rFonts w:ascii="Arial" w:hAnsi="Arial" w:cs="Arial"/>
          <w:sz w:val="20"/>
          <w:szCs w:val="20"/>
        </w:rPr>
        <w:t xml:space="preserve">: </w:t>
      </w:r>
      <w:r w:rsidR="00843A7B">
        <w:rPr>
          <w:rFonts w:ascii="Arial" w:hAnsi="Arial" w:cs="Arial"/>
          <w:sz w:val="20"/>
          <w:szCs w:val="20"/>
        </w:rPr>
        <w:t>La Unidad “Inteligencia Financiera” del ICD atendió la totalidad de ROS recibidos</w:t>
      </w:r>
      <w:r w:rsidR="00222AF3">
        <w:rPr>
          <w:rFonts w:ascii="Arial" w:hAnsi="Arial" w:cs="Arial"/>
          <w:sz w:val="20"/>
          <w:szCs w:val="20"/>
        </w:rPr>
        <w:t xml:space="preserve"> en el 2021 (</w:t>
      </w:r>
      <w:r w:rsidR="00924557">
        <w:rPr>
          <w:rFonts w:ascii="Arial" w:hAnsi="Arial" w:cs="Arial"/>
          <w:sz w:val="20"/>
          <w:szCs w:val="20"/>
        </w:rPr>
        <w:t>642</w:t>
      </w:r>
      <w:r w:rsidR="008D489E">
        <w:rPr>
          <w:rFonts w:ascii="Arial" w:hAnsi="Arial" w:cs="Arial"/>
          <w:sz w:val="20"/>
          <w:szCs w:val="20"/>
        </w:rPr>
        <w:t>,00</w:t>
      </w:r>
      <w:r w:rsidR="00924557">
        <w:rPr>
          <w:rFonts w:ascii="Arial" w:hAnsi="Arial" w:cs="Arial"/>
          <w:sz w:val="20"/>
          <w:szCs w:val="20"/>
        </w:rPr>
        <w:t>)</w:t>
      </w:r>
      <w:r w:rsidR="00222AF3">
        <w:rPr>
          <w:rFonts w:ascii="Arial" w:hAnsi="Arial" w:cs="Arial"/>
          <w:sz w:val="20"/>
          <w:szCs w:val="20"/>
        </w:rPr>
        <w:t>, cantidad superior en comparación a años anteriores debido a</w:t>
      </w:r>
      <w:r w:rsidR="00924557">
        <w:rPr>
          <w:rFonts w:ascii="Arial" w:hAnsi="Arial" w:cs="Arial"/>
          <w:sz w:val="20"/>
          <w:szCs w:val="20"/>
        </w:rPr>
        <w:t>l</w:t>
      </w:r>
      <w:r w:rsidR="00222AF3">
        <w:rPr>
          <w:rFonts w:ascii="Arial" w:hAnsi="Arial" w:cs="Arial"/>
          <w:sz w:val="20"/>
          <w:szCs w:val="20"/>
        </w:rPr>
        <w:t xml:space="preserve"> </w:t>
      </w:r>
      <w:r w:rsidR="00843A7B" w:rsidRPr="00843A7B">
        <w:rPr>
          <w:rFonts w:ascii="Arial" w:hAnsi="Arial" w:cs="Arial"/>
          <w:sz w:val="20"/>
          <w:szCs w:val="20"/>
        </w:rPr>
        <w:t>aumento de</w:t>
      </w:r>
      <w:r w:rsidR="00924557">
        <w:rPr>
          <w:rFonts w:ascii="Arial" w:hAnsi="Arial" w:cs="Arial"/>
          <w:sz w:val="20"/>
          <w:szCs w:val="20"/>
        </w:rPr>
        <w:t>l número de</w:t>
      </w:r>
      <w:r w:rsidR="00843A7B" w:rsidRPr="00843A7B">
        <w:rPr>
          <w:rFonts w:ascii="Arial" w:hAnsi="Arial" w:cs="Arial"/>
          <w:sz w:val="20"/>
          <w:szCs w:val="20"/>
        </w:rPr>
        <w:t xml:space="preserve"> sujetos obligados definidos en la Ley </w:t>
      </w:r>
      <w:r w:rsidR="008D489E">
        <w:rPr>
          <w:rFonts w:ascii="Arial" w:hAnsi="Arial" w:cs="Arial"/>
          <w:sz w:val="20"/>
          <w:szCs w:val="20"/>
        </w:rPr>
        <w:t>N°</w:t>
      </w:r>
      <w:r w:rsidR="00843A7B" w:rsidRPr="00843A7B">
        <w:rPr>
          <w:rFonts w:ascii="Arial" w:hAnsi="Arial" w:cs="Arial"/>
          <w:sz w:val="20"/>
          <w:szCs w:val="20"/>
        </w:rPr>
        <w:t xml:space="preserve">9449 (reforma a la </w:t>
      </w:r>
      <w:r w:rsidR="008D489E">
        <w:rPr>
          <w:rFonts w:ascii="Arial" w:hAnsi="Arial" w:cs="Arial"/>
          <w:sz w:val="20"/>
          <w:szCs w:val="20"/>
        </w:rPr>
        <w:t>N°</w:t>
      </w:r>
      <w:r w:rsidR="00843A7B" w:rsidRPr="00843A7B">
        <w:rPr>
          <w:rFonts w:ascii="Arial" w:hAnsi="Arial" w:cs="Arial"/>
          <w:sz w:val="20"/>
          <w:szCs w:val="20"/>
        </w:rPr>
        <w:t>7786), quienes tienen la obligación de reportar operaciones sospechosas</w:t>
      </w:r>
      <w:r w:rsidR="00222AF3">
        <w:rPr>
          <w:rFonts w:ascii="Arial" w:hAnsi="Arial" w:cs="Arial"/>
          <w:sz w:val="20"/>
          <w:szCs w:val="20"/>
        </w:rPr>
        <w:t xml:space="preserve"> al ICD para su investigación</w:t>
      </w:r>
      <w:r w:rsidR="00843A7B" w:rsidRPr="00843A7B">
        <w:rPr>
          <w:rFonts w:ascii="Arial" w:hAnsi="Arial" w:cs="Arial"/>
          <w:sz w:val="20"/>
          <w:szCs w:val="20"/>
        </w:rPr>
        <w:t xml:space="preserve">. </w:t>
      </w:r>
      <w:r w:rsidR="00924557">
        <w:rPr>
          <w:rFonts w:ascii="Arial" w:hAnsi="Arial" w:cs="Arial"/>
          <w:sz w:val="20"/>
          <w:szCs w:val="20"/>
        </w:rPr>
        <w:t xml:space="preserve">Este incremento también puede </w:t>
      </w:r>
      <w:r w:rsidR="00843A7B" w:rsidRPr="00843A7B">
        <w:rPr>
          <w:rFonts w:ascii="Arial" w:hAnsi="Arial" w:cs="Arial"/>
          <w:sz w:val="20"/>
          <w:szCs w:val="20"/>
        </w:rPr>
        <w:t xml:space="preserve">obedecer a mayores detecciones </w:t>
      </w:r>
      <w:r w:rsidR="00924557">
        <w:rPr>
          <w:rFonts w:ascii="Arial" w:hAnsi="Arial" w:cs="Arial"/>
          <w:sz w:val="20"/>
          <w:szCs w:val="20"/>
        </w:rPr>
        <w:t>ante</w:t>
      </w:r>
      <w:r w:rsidR="00843A7B" w:rsidRPr="00843A7B">
        <w:rPr>
          <w:rFonts w:ascii="Arial" w:hAnsi="Arial" w:cs="Arial"/>
          <w:sz w:val="20"/>
          <w:szCs w:val="20"/>
        </w:rPr>
        <w:t xml:space="preserve"> el aumento de flujos financieros injustificados que circulan en la economía</w:t>
      </w:r>
      <w:r w:rsidR="00924557">
        <w:rPr>
          <w:rFonts w:ascii="Arial" w:hAnsi="Arial" w:cs="Arial"/>
          <w:sz w:val="20"/>
          <w:szCs w:val="20"/>
        </w:rPr>
        <w:t xml:space="preserve"> costarricense</w:t>
      </w:r>
      <w:r w:rsidR="00843A7B" w:rsidRPr="00843A7B">
        <w:rPr>
          <w:rFonts w:ascii="Arial" w:hAnsi="Arial" w:cs="Arial"/>
          <w:sz w:val="20"/>
          <w:szCs w:val="20"/>
        </w:rPr>
        <w:t>.</w:t>
      </w:r>
      <w:r w:rsidR="00843A7B">
        <w:rPr>
          <w:rFonts w:ascii="Arial" w:hAnsi="Arial" w:cs="Arial"/>
          <w:sz w:val="20"/>
          <w:szCs w:val="20"/>
        </w:rPr>
        <w:t xml:space="preserve"> </w:t>
      </w:r>
      <w:r w:rsidR="00220FCB">
        <w:rPr>
          <w:rFonts w:ascii="Arial" w:hAnsi="Arial" w:cs="Arial"/>
          <w:sz w:val="20"/>
          <w:szCs w:val="20"/>
        </w:rPr>
        <w:t xml:space="preserve">De esta manera, la valoración de ROS identifica movimientos </w:t>
      </w:r>
      <w:r w:rsidR="00335CAF">
        <w:rPr>
          <w:rFonts w:ascii="Arial" w:hAnsi="Arial" w:cs="Arial"/>
          <w:sz w:val="20"/>
          <w:szCs w:val="20"/>
        </w:rPr>
        <w:t>irregulares</w:t>
      </w:r>
      <w:r w:rsidR="00220FCB">
        <w:rPr>
          <w:rFonts w:ascii="Arial" w:hAnsi="Arial" w:cs="Arial"/>
          <w:sz w:val="20"/>
          <w:szCs w:val="20"/>
        </w:rPr>
        <w:t xml:space="preserve"> vinculados a legitimación de capitales por tráfico ilícito de drogas</w:t>
      </w:r>
      <w:r w:rsidR="00335CAF">
        <w:rPr>
          <w:rFonts w:ascii="Arial" w:hAnsi="Arial" w:cs="Arial"/>
          <w:sz w:val="20"/>
          <w:szCs w:val="20"/>
        </w:rPr>
        <w:t xml:space="preserve"> u otros delitos relacionados</w:t>
      </w:r>
      <w:r w:rsidR="00220FCB">
        <w:rPr>
          <w:rFonts w:ascii="Arial" w:hAnsi="Arial" w:cs="Arial"/>
          <w:sz w:val="20"/>
          <w:szCs w:val="20"/>
        </w:rPr>
        <w:t xml:space="preserve">, </w:t>
      </w:r>
      <w:r w:rsidR="00295D30">
        <w:rPr>
          <w:rFonts w:ascii="Arial" w:hAnsi="Arial" w:cs="Arial"/>
          <w:sz w:val="20"/>
          <w:szCs w:val="20"/>
        </w:rPr>
        <w:t xml:space="preserve">lo que permite trasladar dichos casos a las autoridades judiciales y proveerles de pruebas </w:t>
      </w:r>
      <w:r w:rsidR="00B2476F">
        <w:rPr>
          <w:rFonts w:ascii="Arial" w:hAnsi="Arial" w:cs="Arial"/>
          <w:sz w:val="20"/>
          <w:szCs w:val="20"/>
        </w:rPr>
        <w:t>objetivas, claves en el proceso penal.</w:t>
      </w:r>
    </w:p>
    <w:p w14:paraId="49288E2A" w14:textId="08A4D694" w:rsidR="006F1409" w:rsidRPr="006F1409" w:rsidRDefault="006F1409" w:rsidP="006F1409">
      <w:pPr>
        <w:spacing w:line="360" w:lineRule="auto"/>
        <w:jc w:val="both"/>
        <w:rPr>
          <w:rFonts w:ascii="Arial" w:hAnsi="Arial" w:cs="Arial"/>
          <w:sz w:val="20"/>
          <w:szCs w:val="20"/>
        </w:rPr>
      </w:pPr>
      <w:r w:rsidRPr="00F6095F">
        <w:rPr>
          <w:rFonts w:ascii="Arial" w:hAnsi="Arial" w:cs="Arial"/>
          <w:b/>
          <w:bCs/>
          <w:sz w:val="20"/>
          <w:szCs w:val="20"/>
        </w:rPr>
        <w:t>PF.03.01. Plazo en días hábiles para la resolución de solicitudes de otorgamiento de licencia de importación, exportación o re-exportación</w:t>
      </w:r>
      <w:r w:rsidR="00924557">
        <w:rPr>
          <w:rFonts w:ascii="Arial" w:hAnsi="Arial" w:cs="Arial"/>
          <w:sz w:val="20"/>
          <w:szCs w:val="20"/>
        </w:rPr>
        <w:t xml:space="preserve">: </w:t>
      </w:r>
      <w:r w:rsidR="002537B4">
        <w:rPr>
          <w:rFonts w:ascii="Arial" w:hAnsi="Arial" w:cs="Arial"/>
          <w:sz w:val="20"/>
          <w:szCs w:val="20"/>
        </w:rPr>
        <w:t xml:space="preserve">Durante el período, la Unidad “Control y Fiscalización de Precursores” dio atención a las solicitudes de licencias </w:t>
      </w:r>
      <w:r w:rsidR="00F6095F">
        <w:rPr>
          <w:rFonts w:ascii="Arial" w:hAnsi="Arial" w:cs="Arial"/>
          <w:sz w:val="20"/>
          <w:szCs w:val="20"/>
        </w:rPr>
        <w:t>de comercio internacional referidas dentro del plazo establecido por ley, cumpliendo así a satisfacción con este indicador</w:t>
      </w:r>
      <w:r w:rsidR="00425A5C">
        <w:rPr>
          <w:rFonts w:ascii="Arial" w:hAnsi="Arial" w:cs="Arial"/>
          <w:sz w:val="20"/>
          <w:szCs w:val="20"/>
        </w:rPr>
        <w:t xml:space="preserve">. </w:t>
      </w:r>
      <w:r w:rsidR="00E2079A">
        <w:rPr>
          <w:rFonts w:ascii="Arial" w:hAnsi="Arial" w:cs="Arial"/>
          <w:sz w:val="20"/>
          <w:szCs w:val="20"/>
        </w:rPr>
        <w:t>Con este indicador se</w:t>
      </w:r>
      <w:r w:rsidR="00425A5C">
        <w:rPr>
          <w:rFonts w:ascii="Arial" w:hAnsi="Arial" w:cs="Arial"/>
          <w:sz w:val="20"/>
          <w:szCs w:val="20"/>
        </w:rPr>
        <w:t xml:space="preserve"> evita</w:t>
      </w:r>
      <w:r w:rsidR="00E2079A">
        <w:rPr>
          <w:rFonts w:ascii="Arial" w:hAnsi="Arial" w:cs="Arial"/>
          <w:sz w:val="20"/>
          <w:szCs w:val="20"/>
        </w:rPr>
        <w:t>n</w:t>
      </w:r>
      <w:r w:rsidR="00425A5C">
        <w:rPr>
          <w:rFonts w:ascii="Arial" w:hAnsi="Arial" w:cs="Arial"/>
          <w:sz w:val="20"/>
          <w:szCs w:val="20"/>
        </w:rPr>
        <w:t xml:space="preserve"> atrasos en el proceso de importación y exportación y</w:t>
      </w:r>
      <w:r w:rsidR="00CC26B8">
        <w:rPr>
          <w:rFonts w:ascii="Arial" w:hAnsi="Arial" w:cs="Arial"/>
          <w:sz w:val="20"/>
          <w:szCs w:val="20"/>
        </w:rPr>
        <w:t>,</w:t>
      </w:r>
      <w:r w:rsidR="00425A5C">
        <w:rPr>
          <w:rFonts w:ascii="Arial" w:hAnsi="Arial" w:cs="Arial"/>
          <w:sz w:val="20"/>
          <w:szCs w:val="20"/>
        </w:rPr>
        <w:t xml:space="preserve"> por consiguiente, de aumento en los costos de los productos. Asimismo, </w:t>
      </w:r>
      <w:r w:rsidR="00714915">
        <w:rPr>
          <w:rFonts w:ascii="Arial" w:hAnsi="Arial" w:cs="Arial"/>
          <w:sz w:val="20"/>
          <w:szCs w:val="20"/>
        </w:rPr>
        <w:t xml:space="preserve">coadyuva a la seguridad del país al fiscalizar y controlar la entrada y salida de precursores químicos con fines legales (médicos, </w:t>
      </w:r>
      <w:r w:rsidR="000029CC">
        <w:rPr>
          <w:rFonts w:ascii="Arial" w:hAnsi="Arial" w:cs="Arial"/>
          <w:sz w:val="20"/>
          <w:szCs w:val="20"/>
        </w:rPr>
        <w:t>alimenticios, industriales, etc.)</w:t>
      </w:r>
      <w:r w:rsidR="00714915">
        <w:rPr>
          <w:rFonts w:ascii="Arial" w:hAnsi="Arial" w:cs="Arial"/>
          <w:sz w:val="20"/>
          <w:szCs w:val="20"/>
        </w:rPr>
        <w:t>, reduciendo su desvío hacia canales ilícitos.</w:t>
      </w:r>
    </w:p>
    <w:p w14:paraId="33E2CEBB" w14:textId="66679E9F" w:rsidR="006F1409" w:rsidRPr="006F1409" w:rsidRDefault="006F1409" w:rsidP="00F979C5">
      <w:pPr>
        <w:spacing w:line="360" w:lineRule="auto"/>
        <w:jc w:val="both"/>
        <w:rPr>
          <w:rFonts w:ascii="Arial" w:hAnsi="Arial" w:cs="Arial"/>
          <w:sz w:val="20"/>
          <w:szCs w:val="20"/>
        </w:rPr>
      </w:pPr>
      <w:r w:rsidRPr="00F979C5">
        <w:rPr>
          <w:rFonts w:ascii="Arial" w:hAnsi="Arial" w:cs="Arial"/>
          <w:b/>
          <w:bCs/>
          <w:sz w:val="20"/>
          <w:szCs w:val="20"/>
        </w:rPr>
        <w:lastRenderedPageBreak/>
        <w:t>PF.04.01. Porcentaje de actividades realizadas de fortalecimiento del Sistema Nacional de Atención a cargo de las OG y ONG</w:t>
      </w:r>
      <w:r w:rsidR="00F6095F">
        <w:rPr>
          <w:rFonts w:ascii="Arial" w:hAnsi="Arial" w:cs="Arial"/>
          <w:sz w:val="20"/>
          <w:szCs w:val="20"/>
        </w:rPr>
        <w:t xml:space="preserve">: </w:t>
      </w:r>
      <w:r w:rsidR="007D53D9">
        <w:rPr>
          <w:rFonts w:ascii="Arial" w:hAnsi="Arial" w:cs="Arial"/>
          <w:sz w:val="20"/>
          <w:szCs w:val="20"/>
        </w:rPr>
        <w:t>Este indicador presentó un cumplimiento del 100</w:t>
      </w:r>
      <w:r w:rsidR="008D489E">
        <w:rPr>
          <w:rFonts w:ascii="Arial" w:hAnsi="Arial" w:cs="Arial"/>
          <w:sz w:val="20"/>
          <w:szCs w:val="20"/>
        </w:rPr>
        <w:t>,00</w:t>
      </w:r>
      <w:r w:rsidR="007D53D9">
        <w:rPr>
          <w:rFonts w:ascii="Arial" w:hAnsi="Arial" w:cs="Arial"/>
          <w:sz w:val="20"/>
          <w:szCs w:val="20"/>
        </w:rPr>
        <w:t xml:space="preserve">% en función del alcance de las actividades programadas por la Unidad “Proyectos de Prevención”, entre las que destacan: </w:t>
      </w:r>
      <w:r w:rsidR="00F979C5">
        <w:rPr>
          <w:rFonts w:ascii="Arial" w:hAnsi="Arial" w:cs="Arial"/>
          <w:sz w:val="20"/>
          <w:szCs w:val="20"/>
        </w:rPr>
        <w:t>a) a</w:t>
      </w:r>
      <w:r w:rsidR="00F979C5" w:rsidRPr="00F979C5">
        <w:rPr>
          <w:rFonts w:ascii="Arial" w:hAnsi="Arial" w:cs="Arial"/>
          <w:sz w:val="20"/>
          <w:szCs w:val="20"/>
        </w:rPr>
        <w:t>ctualización del modelo de reducción de daños para la atención integral en las personas en situación de calle</w:t>
      </w:r>
      <w:r w:rsidR="00F979C5">
        <w:rPr>
          <w:rFonts w:ascii="Arial" w:hAnsi="Arial" w:cs="Arial"/>
          <w:sz w:val="20"/>
          <w:szCs w:val="20"/>
        </w:rPr>
        <w:t>; b) e</w:t>
      </w:r>
      <w:r w:rsidR="00F979C5" w:rsidRPr="00F979C5">
        <w:rPr>
          <w:rFonts w:ascii="Arial" w:hAnsi="Arial" w:cs="Arial"/>
          <w:sz w:val="20"/>
          <w:szCs w:val="20"/>
        </w:rPr>
        <w:t>laboración del documento “</w:t>
      </w:r>
      <w:r w:rsidR="004B378D">
        <w:rPr>
          <w:rFonts w:ascii="Arial" w:hAnsi="Arial" w:cs="Arial"/>
          <w:sz w:val="20"/>
          <w:szCs w:val="20"/>
        </w:rPr>
        <w:t>N</w:t>
      </w:r>
      <w:r w:rsidR="00F979C5" w:rsidRPr="00F979C5">
        <w:rPr>
          <w:rFonts w:ascii="Arial" w:hAnsi="Arial" w:cs="Arial"/>
          <w:sz w:val="20"/>
          <w:szCs w:val="20"/>
        </w:rPr>
        <w:t>ormativa relacionada con el Sistema Nacional de Tratamiento (SINATRA) y ofertas de servicios para las personas con consumo problemático de sustancias psicoactivas”</w:t>
      </w:r>
      <w:r w:rsidR="00F979C5">
        <w:rPr>
          <w:rFonts w:ascii="Arial" w:hAnsi="Arial" w:cs="Arial"/>
          <w:sz w:val="20"/>
          <w:szCs w:val="20"/>
        </w:rPr>
        <w:t>; c) r</w:t>
      </w:r>
      <w:r w:rsidR="00F979C5" w:rsidRPr="00F979C5">
        <w:rPr>
          <w:rFonts w:ascii="Arial" w:hAnsi="Arial" w:cs="Arial"/>
          <w:sz w:val="20"/>
          <w:szCs w:val="20"/>
        </w:rPr>
        <w:t>evisión de la normativa técnica vinculante al SINATRA y abordaje del proceso de ajuste del portafolio de la oferta de servicios de</w:t>
      </w:r>
      <w:r w:rsidR="00F979C5">
        <w:rPr>
          <w:rFonts w:ascii="Arial" w:hAnsi="Arial" w:cs="Arial"/>
          <w:sz w:val="20"/>
          <w:szCs w:val="20"/>
        </w:rPr>
        <w:t xml:space="preserve"> este sistema; d) a</w:t>
      </w:r>
      <w:r w:rsidR="00F979C5" w:rsidRPr="00F979C5">
        <w:rPr>
          <w:rFonts w:ascii="Arial" w:hAnsi="Arial" w:cs="Arial"/>
          <w:sz w:val="20"/>
          <w:szCs w:val="20"/>
        </w:rPr>
        <w:t>probación de instrumento org</w:t>
      </w:r>
      <w:r w:rsidR="00F979C5">
        <w:rPr>
          <w:rFonts w:ascii="Arial" w:hAnsi="Arial" w:cs="Arial"/>
          <w:sz w:val="20"/>
          <w:szCs w:val="20"/>
        </w:rPr>
        <w:t>áni</w:t>
      </w:r>
      <w:r w:rsidR="00F979C5" w:rsidRPr="00F979C5">
        <w:rPr>
          <w:rFonts w:ascii="Arial" w:hAnsi="Arial" w:cs="Arial"/>
          <w:sz w:val="20"/>
          <w:szCs w:val="20"/>
        </w:rPr>
        <w:t>co del Sistema Nacional de Prevención (SINAPRE) aprobado por las instituciones involucradas</w:t>
      </w:r>
      <w:r w:rsidR="00F979C5">
        <w:rPr>
          <w:rFonts w:ascii="Arial" w:hAnsi="Arial" w:cs="Arial"/>
          <w:sz w:val="20"/>
          <w:szCs w:val="20"/>
        </w:rPr>
        <w:t>; e) r</w:t>
      </w:r>
      <w:r w:rsidR="00F979C5" w:rsidRPr="00F979C5">
        <w:rPr>
          <w:rFonts w:ascii="Arial" w:hAnsi="Arial" w:cs="Arial"/>
          <w:sz w:val="20"/>
          <w:szCs w:val="20"/>
        </w:rPr>
        <w:t>evisión de la oferta de atención especializada para PME en situación de vulnerabilidad y/o consumidora de SPA inserta en el si</w:t>
      </w:r>
      <w:r w:rsidR="00F979C5">
        <w:rPr>
          <w:rFonts w:ascii="Arial" w:hAnsi="Arial" w:cs="Arial"/>
          <w:sz w:val="20"/>
          <w:szCs w:val="20"/>
        </w:rPr>
        <w:t>s</w:t>
      </w:r>
      <w:r w:rsidR="00F979C5" w:rsidRPr="00F979C5">
        <w:rPr>
          <w:rFonts w:ascii="Arial" w:hAnsi="Arial" w:cs="Arial"/>
          <w:sz w:val="20"/>
          <w:szCs w:val="20"/>
        </w:rPr>
        <w:t>tema educativo formal</w:t>
      </w:r>
      <w:r w:rsidR="00F979C5">
        <w:rPr>
          <w:rFonts w:ascii="Arial" w:hAnsi="Arial" w:cs="Arial"/>
          <w:sz w:val="20"/>
          <w:szCs w:val="20"/>
        </w:rPr>
        <w:t>; y f) e</w:t>
      </w:r>
      <w:r w:rsidR="00F979C5" w:rsidRPr="00F979C5">
        <w:rPr>
          <w:rFonts w:ascii="Arial" w:hAnsi="Arial" w:cs="Arial"/>
          <w:sz w:val="20"/>
          <w:szCs w:val="20"/>
        </w:rPr>
        <w:t>laboración de un diagnóstico desde un enfoque centrado en la persona para la atención especializada a mujeres</w:t>
      </w:r>
      <w:r w:rsidR="00F979C5">
        <w:rPr>
          <w:rFonts w:ascii="Arial" w:hAnsi="Arial" w:cs="Arial"/>
          <w:sz w:val="20"/>
          <w:szCs w:val="20"/>
        </w:rPr>
        <w:t>.</w:t>
      </w:r>
      <w:r w:rsidR="003330CD">
        <w:rPr>
          <w:rFonts w:ascii="Arial" w:hAnsi="Arial" w:cs="Arial"/>
          <w:sz w:val="20"/>
          <w:szCs w:val="20"/>
        </w:rPr>
        <w:t xml:space="preserve"> Estas acciones permiten integrar </w:t>
      </w:r>
      <w:r w:rsidR="008C0F85">
        <w:rPr>
          <w:rFonts w:ascii="Arial" w:hAnsi="Arial" w:cs="Arial"/>
          <w:sz w:val="20"/>
          <w:szCs w:val="20"/>
        </w:rPr>
        <w:t xml:space="preserve">la oferta pública y privada en materia preventiva y de tratamiento, a la vez que estandariza sus prácticas y </w:t>
      </w:r>
      <w:r w:rsidR="00352A95">
        <w:rPr>
          <w:rFonts w:ascii="Arial" w:hAnsi="Arial" w:cs="Arial"/>
          <w:sz w:val="20"/>
          <w:szCs w:val="20"/>
        </w:rPr>
        <w:t>procura la atención integral y especializada según las necesidades de las poblaciones objetivo.</w:t>
      </w:r>
    </w:p>
    <w:p w14:paraId="1F219DDF" w14:textId="0461DB7C" w:rsidR="006F1409" w:rsidRPr="006F1409" w:rsidRDefault="006F1409" w:rsidP="006F1409">
      <w:pPr>
        <w:spacing w:line="360" w:lineRule="auto"/>
        <w:jc w:val="both"/>
        <w:rPr>
          <w:rFonts w:ascii="Arial" w:hAnsi="Arial" w:cs="Arial"/>
          <w:sz w:val="20"/>
          <w:szCs w:val="20"/>
        </w:rPr>
      </w:pPr>
      <w:r w:rsidRPr="00F979C5">
        <w:rPr>
          <w:rFonts w:ascii="Arial" w:hAnsi="Arial" w:cs="Arial"/>
          <w:b/>
          <w:bCs/>
          <w:sz w:val="20"/>
          <w:szCs w:val="20"/>
        </w:rPr>
        <w:t>PI.01.01.01. Porcentaje de comisos de dinero realizados</w:t>
      </w:r>
      <w:r w:rsidR="00F979C5">
        <w:rPr>
          <w:rFonts w:ascii="Arial" w:hAnsi="Arial" w:cs="Arial"/>
          <w:sz w:val="20"/>
          <w:szCs w:val="20"/>
        </w:rPr>
        <w:t xml:space="preserve">: </w:t>
      </w:r>
      <w:r w:rsidR="000941FD">
        <w:rPr>
          <w:rFonts w:ascii="Arial" w:hAnsi="Arial" w:cs="Arial"/>
          <w:sz w:val="20"/>
          <w:szCs w:val="20"/>
        </w:rPr>
        <w:t xml:space="preserve">En 2021 el ICD </w:t>
      </w:r>
      <w:r w:rsidR="003F1DB9">
        <w:rPr>
          <w:rFonts w:ascii="Arial" w:hAnsi="Arial" w:cs="Arial"/>
          <w:sz w:val="20"/>
          <w:szCs w:val="20"/>
        </w:rPr>
        <w:t>gestionó</w:t>
      </w:r>
      <w:r w:rsidR="000941FD">
        <w:rPr>
          <w:rFonts w:ascii="Arial" w:hAnsi="Arial" w:cs="Arial"/>
          <w:sz w:val="20"/>
          <w:szCs w:val="20"/>
        </w:rPr>
        <w:t xml:space="preserve"> todas las solicitudes de comiso de dineros</w:t>
      </w:r>
      <w:r w:rsidR="003F1DB9">
        <w:rPr>
          <w:rFonts w:ascii="Arial" w:hAnsi="Arial" w:cs="Arial"/>
          <w:sz w:val="20"/>
          <w:szCs w:val="20"/>
        </w:rPr>
        <w:t xml:space="preserve"> emitidas por los órganos judiciales</w:t>
      </w:r>
      <w:r w:rsidR="000941FD">
        <w:rPr>
          <w:rFonts w:ascii="Arial" w:hAnsi="Arial" w:cs="Arial"/>
          <w:sz w:val="20"/>
          <w:szCs w:val="20"/>
        </w:rPr>
        <w:t xml:space="preserve">, </w:t>
      </w:r>
      <w:r w:rsidR="003F1DB9">
        <w:rPr>
          <w:rFonts w:ascii="Arial" w:hAnsi="Arial" w:cs="Arial"/>
          <w:sz w:val="20"/>
          <w:szCs w:val="20"/>
        </w:rPr>
        <w:t>por lo tanto, el indicador se cumplió plenamente</w:t>
      </w:r>
      <w:r w:rsidR="001B478B">
        <w:rPr>
          <w:rFonts w:ascii="Arial" w:hAnsi="Arial" w:cs="Arial"/>
          <w:sz w:val="20"/>
          <w:szCs w:val="20"/>
        </w:rPr>
        <w:t xml:space="preserve">, lo que permitió </w:t>
      </w:r>
      <w:r w:rsidR="005B4FE6">
        <w:rPr>
          <w:rFonts w:ascii="Arial" w:hAnsi="Arial" w:cs="Arial"/>
          <w:sz w:val="20"/>
          <w:szCs w:val="20"/>
        </w:rPr>
        <w:t>administrar los recursos económicos incautados, para su posterior disposición según lo establece la ley N°8204 (para prevención</w:t>
      </w:r>
      <w:r w:rsidR="003330CD">
        <w:rPr>
          <w:rFonts w:ascii="Arial" w:hAnsi="Arial" w:cs="Arial"/>
          <w:sz w:val="20"/>
          <w:szCs w:val="20"/>
        </w:rPr>
        <w:t xml:space="preserve"> y tratamiento</w:t>
      </w:r>
      <w:r w:rsidR="005B4FE6">
        <w:rPr>
          <w:rFonts w:ascii="Arial" w:hAnsi="Arial" w:cs="Arial"/>
          <w:sz w:val="20"/>
          <w:szCs w:val="20"/>
        </w:rPr>
        <w:t xml:space="preserve"> del consumo de drogas, prevención y represión del delito y mantenimiento de los bienes </w:t>
      </w:r>
      <w:r w:rsidR="003330CD">
        <w:rPr>
          <w:rFonts w:ascii="Arial" w:hAnsi="Arial" w:cs="Arial"/>
          <w:sz w:val="20"/>
          <w:szCs w:val="20"/>
        </w:rPr>
        <w:t>comisados y decomisados).</w:t>
      </w:r>
    </w:p>
    <w:p w14:paraId="67B247DB" w14:textId="43A3C8CE" w:rsidR="006F1409" w:rsidRPr="006F1409" w:rsidRDefault="006F1409" w:rsidP="00341C8A">
      <w:pPr>
        <w:spacing w:line="360" w:lineRule="auto"/>
        <w:jc w:val="both"/>
        <w:rPr>
          <w:rFonts w:ascii="Arial" w:hAnsi="Arial" w:cs="Arial"/>
          <w:sz w:val="20"/>
          <w:szCs w:val="20"/>
        </w:rPr>
      </w:pPr>
      <w:r w:rsidRPr="00F979C5">
        <w:rPr>
          <w:rFonts w:ascii="Arial" w:hAnsi="Arial" w:cs="Arial"/>
          <w:b/>
          <w:bCs/>
          <w:sz w:val="20"/>
          <w:szCs w:val="20"/>
        </w:rPr>
        <w:t>PI.02.01.01. Porcentaje de estudios sociales y epidemiológicos realizados</w:t>
      </w:r>
      <w:r w:rsidR="00F979C5">
        <w:rPr>
          <w:rFonts w:ascii="Arial" w:hAnsi="Arial" w:cs="Arial"/>
          <w:sz w:val="20"/>
          <w:szCs w:val="20"/>
        </w:rPr>
        <w:t xml:space="preserve">: </w:t>
      </w:r>
      <w:r w:rsidR="00604A2E">
        <w:rPr>
          <w:rFonts w:ascii="Arial" w:hAnsi="Arial" w:cs="Arial"/>
          <w:sz w:val="20"/>
          <w:szCs w:val="20"/>
        </w:rPr>
        <w:t>la Unidad “</w:t>
      </w:r>
      <w:r w:rsidR="006A7669">
        <w:rPr>
          <w:rFonts w:ascii="Arial" w:hAnsi="Arial" w:cs="Arial"/>
          <w:sz w:val="20"/>
          <w:szCs w:val="20"/>
        </w:rPr>
        <w:t>Información y Estadística” realizó los</w:t>
      </w:r>
      <w:r w:rsidR="00341C8A">
        <w:rPr>
          <w:rFonts w:ascii="Arial" w:hAnsi="Arial" w:cs="Arial"/>
          <w:sz w:val="20"/>
          <w:szCs w:val="20"/>
        </w:rPr>
        <w:t xml:space="preserve"> tres</w:t>
      </w:r>
      <w:r w:rsidR="006A7669">
        <w:rPr>
          <w:rFonts w:ascii="Arial" w:hAnsi="Arial" w:cs="Arial"/>
          <w:sz w:val="20"/>
          <w:szCs w:val="20"/>
        </w:rPr>
        <w:t xml:space="preserve"> estudios programados durante el período, </w:t>
      </w:r>
      <w:r w:rsidR="00341C8A">
        <w:rPr>
          <w:rFonts w:ascii="Arial" w:hAnsi="Arial" w:cs="Arial"/>
          <w:sz w:val="20"/>
          <w:szCs w:val="20"/>
        </w:rPr>
        <w:t xml:space="preserve">a saber: a) </w:t>
      </w:r>
      <w:r w:rsidR="00341C8A" w:rsidRPr="00341C8A">
        <w:rPr>
          <w:rFonts w:ascii="Arial" w:hAnsi="Arial" w:cs="Arial"/>
          <w:sz w:val="20"/>
          <w:szCs w:val="20"/>
        </w:rPr>
        <w:t>Consumo de psicotrópicos y estupefacientes de uso médico durante la pandemia por COVID-19 en Costa Rica</w:t>
      </w:r>
      <w:r w:rsidR="00341C8A">
        <w:rPr>
          <w:rFonts w:ascii="Arial" w:hAnsi="Arial" w:cs="Arial"/>
          <w:sz w:val="20"/>
          <w:szCs w:val="20"/>
        </w:rPr>
        <w:t xml:space="preserve">; b) </w:t>
      </w:r>
      <w:r w:rsidR="00341C8A" w:rsidRPr="00341C8A">
        <w:rPr>
          <w:rFonts w:ascii="Arial" w:hAnsi="Arial" w:cs="Arial"/>
          <w:sz w:val="20"/>
          <w:szCs w:val="20"/>
        </w:rPr>
        <w:t>Inclusión de poblaciones sexualmente diversas en las ONG autorizadas por el IAFA</w:t>
      </w:r>
      <w:r w:rsidR="00341C8A">
        <w:rPr>
          <w:rFonts w:ascii="Arial" w:hAnsi="Arial" w:cs="Arial"/>
          <w:sz w:val="20"/>
          <w:szCs w:val="20"/>
        </w:rPr>
        <w:t xml:space="preserve">; c) </w:t>
      </w:r>
      <w:r w:rsidR="00341C8A" w:rsidRPr="00341C8A">
        <w:rPr>
          <w:rFonts w:ascii="Arial" w:hAnsi="Arial" w:cs="Arial"/>
          <w:sz w:val="20"/>
          <w:szCs w:val="20"/>
        </w:rPr>
        <w:t>¿Cuáles son las razones por las que no todas las ONG de tratamiento residencial para consumo de sustancias psicoactivas cuentan con la aprobación del IAFA?</w:t>
      </w:r>
      <w:r w:rsidR="00341C8A">
        <w:rPr>
          <w:rFonts w:ascii="Arial" w:hAnsi="Arial" w:cs="Arial"/>
          <w:sz w:val="20"/>
          <w:szCs w:val="20"/>
        </w:rPr>
        <w:t xml:space="preserve"> Además, </w:t>
      </w:r>
      <w:r w:rsidR="00E82C58">
        <w:rPr>
          <w:rFonts w:ascii="Arial" w:hAnsi="Arial" w:cs="Arial"/>
          <w:sz w:val="20"/>
          <w:szCs w:val="20"/>
        </w:rPr>
        <w:t>concluyó la investigación “</w:t>
      </w:r>
      <w:r w:rsidR="00341C8A" w:rsidRPr="00341C8A">
        <w:rPr>
          <w:rFonts w:ascii="Arial" w:hAnsi="Arial" w:cs="Arial"/>
          <w:sz w:val="20"/>
          <w:szCs w:val="20"/>
        </w:rPr>
        <w:t>Percepción sobre el consumo de sustancias psicoactivas de los empleados públicos</w:t>
      </w:r>
      <w:r w:rsidR="00E82C58">
        <w:rPr>
          <w:rFonts w:ascii="Arial" w:hAnsi="Arial" w:cs="Arial"/>
          <w:sz w:val="20"/>
          <w:szCs w:val="20"/>
        </w:rPr>
        <w:t>”, razón por la que registra un porcentaje de 133,33%</w:t>
      </w:r>
      <w:r w:rsidR="00341C8A" w:rsidRPr="00341C8A">
        <w:rPr>
          <w:rFonts w:ascii="Arial" w:hAnsi="Arial" w:cs="Arial"/>
          <w:sz w:val="20"/>
          <w:szCs w:val="20"/>
        </w:rPr>
        <w:t>.</w:t>
      </w:r>
      <w:r w:rsidR="00CF44B6">
        <w:rPr>
          <w:rFonts w:ascii="Arial" w:hAnsi="Arial" w:cs="Arial"/>
          <w:sz w:val="20"/>
          <w:szCs w:val="20"/>
        </w:rPr>
        <w:t xml:space="preserve"> Estos estudios se constituyen en insumo fundamental para la toma de decisiones de actores políticos y técnicos</w:t>
      </w:r>
      <w:r w:rsidR="006E79CD">
        <w:rPr>
          <w:rFonts w:ascii="Arial" w:hAnsi="Arial" w:cs="Arial"/>
          <w:sz w:val="20"/>
          <w:szCs w:val="20"/>
        </w:rPr>
        <w:t xml:space="preserve"> basada en evidencia científica</w:t>
      </w:r>
      <w:r w:rsidR="00CF44B6">
        <w:rPr>
          <w:rFonts w:ascii="Arial" w:hAnsi="Arial" w:cs="Arial"/>
          <w:sz w:val="20"/>
          <w:szCs w:val="20"/>
        </w:rPr>
        <w:t xml:space="preserve"> </w:t>
      </w:r>
      <w:r w:rsidR="006E79CD">
        <w:rPr>
          <w:rFonts w:ascii="Arial" w:hAnsi="Arial" w:cs="Arial"/>
          <w:sz w:val="20"/>
          <w:szCs w:val="20"/>
        </w:rPr>
        <w:t xml:space="preserve">en la temática </w:t>
      </w:r>
      <w:r w:rsidR="00CF44B6">
        <w:rPr>
          <w:rFonts w:ascii="Arial" w:hAnsi="Arial" w:cs="Arial"/>
          <w:sz w:val="20"/>
          <w:szCs w:val="20"/>
        </w:rPr>
        <w:t>de las drogas</w:t>
      </w:r>
      <w:r w:rsidR="006B7A79">
        <w:rPr>
          <w:rFonts w:ascii="Arial" w:hAnsi="Arial" w:cs="Arial"/>
          <w:sz w:val="20"/>
          <w:szCs w:val="20"/>
        </w:rPr>
        <w:t xml:space="preserve"> tanto para la elaboración de nuevas políticas públicas como para la valoración de los resultados de los diversos programas y proyectos</w:t>
      </w:r>
      <w:r w:rsidR="006E79CD">
        <w:rPr>
          <w:rFonts w:ascii="Arial" w:hAnsi="Arial" w:cs="Arial"/>
          <w:sz w:val="20"/>
          <w:szCs w:val="20"/>
        </w:rPr>
        <w:t xml:space="preserve"> </w:t>
      </w:r>
      <w:r w:rsidR="006B7A79">
        <w:rPr>
          <w:rFonts w:ascii="Arial" w:hAnsi="Arial" w:cs="Arial"/>
          <w:sz w:val="20"/>
          <w:szCs w:val="20"/>
        </w:rPr>
        <w:t>público</w:t>
      </w:r>
      <w:r w:rsidR="006E79CD">
        <w:rPr>
          <w:rFonts w:ascii="Arial" w:hAnsi="Arial" w:cs="Arial"/>
          <w:sz w:val="20"/>
          <w:szCs w:val="20"/>
        </w:rPr>
        <w:t>s y de ONG</w:t>
      </w:r>
      <w:r w:rsidR="006B7A79">
        <w:rPr>
          <w:rFonts w:ascii="Arial" w:hAnsi="Arial" w:cs="Arial"/>
          <w:sz w:val="20"/>
          <w:szCs w:val="20"/>
        </w:rPr>
        <w:t>.</w:t>
      </w:r>
    </w:p>
    <w:p w14:paraId="120751F1" w14:textId="77777777" w:rsidR="00030D45" w:rsidRDefault="00030D45" w:rsidP="006F1409">
      <w:pPr>
        <w:spacing w:line="360" w:lineRule="auto"/>
        <w:jc w:val="both"/>
        <w:rPr>
          <w:rFonts w:ascii="Arial" w:hAnsi="Arial" w:cs="Arial"/>
          <w:b/>
          <w:bCs/>
          <w:sz w:val="20"/>
          <w:szCs w:val="20"/>
        </w:rPr>
      </w:pPr>
    </w:p>
    <w:p w14:paraId="7B14E593" w14:textId="3EA3191D" w:rsidR="006F1409" w:rsidRDefault="006F1409" w:rsidP="006F1409">
      <w:pPr>
        <w:spacing w:line="360" w:lineRule="auto"/>
        <w:jc w:val="both"/>
        <w:rPr>
          <w:rFonts w:ascii="Arial" w:hAnsi="Arial" w:cs="Arial"/>
          <w:sz w:val="20"/>
          <w:szCs w:val="20"/>
        </w:rPr>
      </w:pPr>
      <w:r w:rsidRPr="00F979C5">
        <w:rPr>
          <w:rFonts w:ascii="Arial" w:hAnsi="Arial" w:cs="Arial"/>
          <w:b/>
          <w:bCs/>
          <w:sz w:val="20"/>
          <w:szCs w:val="20"/>
        </w:rPr>
        <w:lastRenderedPageBreak/>
        <w:t>PI.03.01.01. Porcentaje de datos certificados</w:t>
      </w:r>
      <w:r w:rsidR="00F979C5">
        <w:rPr>
          <w:rFonts w:ascii="Arial" w:hAnsi="Arial" w:cs="Arial"/>
          <w:sz w:val="20"/>
          <w:szCs w:val="20"/>
        </w:rPr>
        <w:t xml:space="preserve">: </w:t>
      </w:r>
      <w:r w:rsidR="003B147E">
        <w:rPr>
          <w:rFonts w:ascii="Arial" w:hAnsi="Arial" w:cs="Arial"/>
          <w:sz w:val="20"/>
          <w:szCs w:val="20"/>
        </w:rPr>
        <w:t xml:space="preserve">La unidad “Registros y Consultas” certificó la totalidad de datos entregados a autoridades policiales y administrativas </w:t>
      </w:r>
      <w:r w:rsidR="007D23A5">
        <w:rPr>
          <w:rFonts w:ascii="Arial" w:hAnsi="Arial" w:cs="Arial"/>
          <w:sz w:val="20"/>
          <w:szCs w:val="20"/>
        </w:rPr>
        <w:t xml:space="preserve">contribuyendo a la calidad y riqueza de información para la realización de </w:t>
      </w:r>
      <w:r w:rsidR="003B147E">
        <w:rPr>
          <w:rFonts w:ascii="Arial" w:hAnsi="Arial" w:cs="Arial"/>
          <w:sz w:val="20"/>
          <w:szCs w:val="20"/>
        </w:rPr>
        <w:t xml:space="preserve">investigaciones </w:t>
      </w:r>
      <w:r w:rsidR="007D23A5">
        <w:rPr>
          <w:rFonts w:ascii="Arial" w:hAnsi="Arial" w:cs="Arial"/>
          <w:sz w:val="20"/>
          <w:szCs w:val="20"/>
        </w:rPr>
        <w:t>judiciales</w:t>
      </w:r>
      <w:r w:rsidR="005D2F0B">
        <w:rPr>
          <w:rFonts w:ascii="Arial" w:hAnsi="Arial" w:cs="Arial"/>
          <w:sz w:val="20"/>
          <w:szCs w:val="20"/>
        </w:rPr>
        <w:t xml:space="preserve"> </w:t>
      </w:r>
      <w:r w:rsidR="003B147E">
        <w:rPr>
          <w:rFonts w:ascii="Arial" w:hAnsi="Arial" w:cs="Arial"/>
          <w:sz w:val="20"/>
          <w:szCs w:val="20"/>
        </w:rPr>
        <w:t>de personas físicas y jurídicas</w:t>
      </w:r>
      <w:r w:rsidR="005D2F0B">
        <w:rPr>
          <w:rFonts w:ascii="Arial" w:hAnsi="Arial" w:cs="Arial"/>
          <w:sz w:val="20"/>
          <w:szCs w:val="20"/>
        </w:rPr>
        <w:t xml:space="preserve"> relacionadas con la comisión de delitos de tráfico ilícito de drogas, legitimación de capitales y vinculantes.</w:t>
      </w:r>
    </w:p>
    <w:p w14:paraId="76E84676" w14:textId="6C3214A6" w:rsidR="001218E3" w:rsidRPr="00286078" w:rsidRDefault="006D6E16" w:rsidP="001218E3">
      <w:pPr>
        <w:spacing w:after="0"/>
        <w:ind w:left="720"/>
        <w:jc w:val="center"/>
        <w:rPr>
          <w:rFonts w:ascii="Arial" w:hAnsi="Arial" w:cs="Arial"/>
          <w:b/>
          <w:color w:val="000000"/>
          <w:sz w:val="20"/>
          <w:szCs w:val="20"/>
          <w:lang w:val="es-CR" w:eastAsia="es-CR"/>
        </w:rPr>
      </w:pPr>
      <w:r w:rsidRPr="006D6E16">
        <w:rPr>
          <w:rFonts w:ascii="Arial" w:hAnsi="Arial" w:cs="Arial"/>
          <w:b/>
          <w:color w:val="000000"/>
          <w:sz w:val="20"/>
          <w:szCs w:val="20"/>
          <w:lang w:val="es-CR" w:eastAsia="es-CR"/>
        </w:rPr>
        <w:t>Cuadro 9</w:t>
      </w:r>
      <w:r w:rsidRPr="006D6E16">
        <w:rPr>
          <w:rFonts w:ascii="Arial" w:hAnsi="Arial" w:cs="Arial"/>
          <w:color w:val="000000"/>
          <w:sz w:val="20"/>
          <w:szCs w:val="20"/>
          <w:lang w:val="es-CR" w:eastAsia="es-CR"/>
        </w:rPr>
        <w:t xml:space="preserve">. </w:t>
      </w:r>
      <w:r w:rsidR="0033611F">
        <w:rPr>
          <w:rFonts w:ascii="Arial" w:hAnsi="Arial" w:cs="Arial"/>
          <w:b/>
          <w:color w:val="000000"/>
          <w:sz w:val="20"/>
          <w:szCs w:val="20"/>
          <w:lang w:val="es-CR" w:eastAsia="es-CR"/>
        </w:rPr>
        <w:t>Indicadores</w:t>
      </w:r>
      <w:r w:rsidR="001218E3" w:rsidRPr="001218E3">
        <w:rPr>
          <w:rFonts w:ascii="Arial" w:hAnsi="Arial" w:cs="Arial"/>
          <w:b/>
          <w:color w:val="000000"/>
          <w:sz w:val="20"/>
          <w:szCs w:val="20"/>
          <w:lang w:val="es-CR" w:eastAsia="es-CR"/>
        </w:rPr>
        <w:t xml:space="preserve">. </w:t>
      </w:r>
      <w:r w:rsidRPr="00286078">
        <w:rPr>
          <w:rFonts w:ascii="Arial" w:hAnsi="Arial" w:cs="Arial"/>
          <w:b/>
          <w:color w:val="000000"/>
          <w:sz w:val="20"/>
          <w:szCs w:val="20"/>
          <w:lang w:val="es-CR" w:eastAsia="es-CR"/>
        </w:rPr>
        <w:t>Acciones correctivas de mitad de año no efectivas</w:t>
      </w:r>
    </w:p>
    <w:p w14:paraId="47E424B6" w14:textId="33B64812" w:rsidR="006D6E16" w:rsidRPr="00286078" w:rsidRDefault="00A519A7" w:rsidP="001218E3">
      <w:pPr>
        <w:spacing w:after="0"/>
        <w:ind w:left="720"/>
        <w:jc w:val="center"/>
        <w:rPr>
          <w:rFonts w:ascii="Arial" w:hAnsi="Arial" w:cs="Arial"/>
          <w:sz w:val="20"/>
          <w:szCs w:val="20"/>
          <w:lang w:val="es-ES_tradnl"/>
        </w:rPr>
      </w:pPr>
      <w:r w:rsidRPr="00286078">
        <w:rPr>
          <w:rFonts w:ascii="Arial" w:hAnsi="Arial" w:cs="Arial"/>
          <w:sz w:val="20"/>
          <w:szCs w:val="20"/>
          <w:lang w:val="es-ES_tradnl"/>
        </w:rPr>
        <w:t>Programa 043</w:t>
      </w:r>
    </w:p>
    <w:p w14:paraId="16614019" w14:textId="77777777" w:rsidR="006D6E16" w:rsidRPr="00286078" w:rsidRDefault="001218E3" w:rsidP="006D6E16">
      <w:pPr>
        <w:spacing w:after="0"/>
        <w:ind w:left="720"/>
        <w:jc w:val="center"/>
        <w:rPr>
          <w:rFonts w:ascii="Arial" w:hAnsi="Arial" w:cs="Arial"/>
          <w:color w:val="000000"/>
          <w:sz w:val="20"/>
          <w:szCs w:val="20"/>
          <w:lang w:val="es-CR" w:eastAsia="es-CR"/>
        </w:rPr>
      </w:pPr>
      <w:r w:rsidRPr="00286078">
        <w:rPr>
          <w:rFonts w:ascii="Arial" w:hAnsi="Arial" w:cs="Arial"/>
          <w:color w:val="000000"/>
          <w:sz w:val="20"/>
          <w:szCs w:val="20"/>
          <w:lang w:val="es-CR" w:eastAsia="es-CR"/>
        </w:rPr>
        <w:t>C</w:t>
      </w:r>
      <w:r w:rsidR="006D6E16" w:rsidRPr="00286078">
        <w:rPr>
          <w:rFonts w:ascii="Arial" w:hAnsi="Arial" w:cs="Arial"/>
          <w:color w:val="000000"/>
          <w:sz w:val="20"/>
          <w:szCs w:val="20"/>
          <w:lang w:val="es-CR" w:eastAsia="es-CR"/>
        </w:rPr>
        <w:t>umplimiento menor al 25,00% al 30/06/2021 y al 90,00% al 31/12/2021</w:t>
      </w:r>
    </w:p>
    <w:tbl>
      <w:tblPr>
        <w:tblStyle w:val="Listaclara-nfasis1"/>
        <w:tblW w:w="4950" w:type="pct"/>
        <w:tblLook w:val="00A0" w:firstRow="1" w:lastRow="0" w:firstColumn="1" w:lastColumn="0" w:noHBand="0" w:noVBand="0"/>
      </w:tblPr>
      <w:tblGrid>
        <w:gridCol w:w="1281"/>
        <w:gridCol w:w="2253"/>
        <w:gridCol w:w="2745"/>
        <w:gridCol w:w="2120"/>
      </w:tblGrid>
      <w:tr w:rsidR="006D6E16" w:rsidRPr="00286078" w14:paraId="74AC0057" w14:textId="77777777" w:rsidTr="00EF3B61">
        <w:trPr>
          <w:cnfStyle w:val="100000000000" w:firstRow="1" w:lastRow="0" w:firstColumn="0" w:lastColumn="0" w:oddVBand="0" w:evenVBand="0" w:oddHBand="0" w:evenHBand="0" w:firstRowFirstColumn="0" w:firstRowLastColumn="0" w:lastRowFirstColumn="0" w:lastRowLastColumn="0"/>
          <w:trHeight w:val="625"/>
          <w:tblHeader/>
        </w:trPr>
        <w:tc>
          <w:tcPr>
            <w:cnfStyle w:val="001000000000" w:firstRow="0" w:lastRow="0" w:firstColumn="1" w:lastColumn="0" w:oddVBand="0" w:evenVBand="0" w:oddHBand="0" w:evenHBand="0" w:firstRowFirstColumn="0" w:firstRowLastColumn="0" w:lastRowFirstColumn="0" w:lastRowLastColumn="0"/>
            <w:tcW w:w="763" w:type="pct"/>
            <w:vAlign w:val="center"/>
          </w:tcPr>
          <w:p w14:paraId="2BE4BABA" w14:textId="77777777" w:rsidR="006D6E16" w:rsidRPr="00286078" w:rsidRDefault="006D6E16" w:rsidP="00816534">
            <w:pPr>
              <w:contextualSpacing/>
              <w:jc w:val="center"/>
              <w:rPr>
                <w:rFonts w:ascii="Arial" w:hAnsi="Arial" w:cs="Arial"/>
                <w:bCs w:val="0"/>
                <w:sz w:val="18"/>
                <w:szCs w:val="16"/>
                <w:lang w:val="es-CR"/>
              </w:rPr>
            </w:pPr>
            <w:r w:rsidRPr="00286078">
              <w:rPr>
                <w:rFonts w:ascii="Arial" w:hAnsi="Arial" w:cs="Arial"/>
                <w:sz w:val="18"/>
                <w:szCs w:val="16"/>
                <w:lang w:val="es-CR"/>
              </w:rPr>
              <w:t xml:space="preserve">Nombre del </w:t>
            </w:r>
            <w:r w:rsidR="007E03B8" w:rsidRPr="00286078">
              <w:rPr>
                <w:rFonts w:ascii="Arial" w:hAnsi="Arial" w:cs="Arial"/>
                <w:sz w:val="18"/>
                <w:szCs w:val="16"/>
                <w:lang w:val="es-CR"/>
              </w:rPr>
              <w:t>i</w:t>
            </w:r>
            <w:r w:rsidRPr="00286078">
              <w:rPr>
                <w:rFonts w:ascii="Arial" w:hAnsi="Arial" w:cs="Arial"/>
                <w:sz w:val="18"/>
                <w:szCs w:val="16"/>
                <w:lang w:val="es-CR"/>
              </w:rPr>
              <w:t>ndicador</w:t>
            </w:r>
          </w:p>
        </w:tc>
        <w:tc>
          <w:tcPr>
            <w:cnfStyle w:val="000010000000" w:firstRow="0" w:lastRow="0" w:firstColumn="0" w:lastColumn="0" w:oddVBand="1" w:evenVBand="0" w:oddHBand="0" w:evenHBand="0" w:firstRowFirstColumn="0" w:firstRowLastColumn="0" w:lastRowFirstColumn="0" w:lastRowLastColumn="0"/>
            <w:tcW w:w="1341" w:type="pct"/>
            <w:vAlign w:val="center"/>
          </w:tcPr>
          <w:p w14:paraId="00DC3B87" w14:textId="77777777" w:rsidR="006D6E16" w:rsidRPr="00286078" w:rsidRDefault="006D6E16" w:rsidP="00816534">
            <w:pPr>
              <w:contextualSpacing/>
              <w:jc w:val="center"/>
              <w:rPr>
                <w:rFonts w:ascii="Arial" w:hAnsi="Arial" w:cs="Arial"/>
                <w:b w:val="0"/>
                <w:bCs w:val="0"/>
                <w:sz w:val="18"/>
                <w:szCs w:val="16"/>
                <w:lang w:val="es-CR"/>
              </w:rPr>
            </w:pPr>
            <w:r w:rsidRPr="00286078">
              <w:rPr>
                <w:rFonts w:ascii="Arial" w:hAnsi="Arial" w:cs="Arial"/>
                <w:sz w:val="18"/>
                <w:szCs w:val="16"/>
                <w:lang w:val="es-CR"/>
              </w:rPr>
              <w:t>Factores</w:t>
            </w:r>
          </w:p>
          <w:p w14:paraId="1BE4683C" w14:textId="31925C05" w:rsidR="006D6E16" w:rsidRPr="00286078" w:rsidRDefault="006D6E16" w:rsidP="00816534">
            <w:pPr>
              <w:contextualSpacing/>
              <w:jc w:val="center"/>
              <w:rPr>
                <w:rFonts w:ascii="Arial" w:hAnsi="Arial" w:cs="Arial"/>
                <w:sz w:val="18"/>
                <w:szCs w:val="16"/>
                <w:lang w:val="es-CR"/>
              </w:rPr>
            </w:pPr>
            <w:r w:rsidRPr="00286078">
              <w:rPr>
                <w:rFonts w:ascii="Arial" w:hAnsi="Arial" w:cs="Arial"/>
                <w:sz w:val="18"/>
                <w:szCs w:val="16"/>
                <w:lang w:val="es-CR"/>
              </w:rPr>
              <w:t>al 30/06/2021</w:t>
            </w:r>
          </w:p>
        </w:tc>
        <w:tc>
          <w:tcPr>
            <w:tcW w:w="1634" w:type="pct"/>
            <w:vAlign w:val="center"/>
          </w:tcPr>
          <w:p w14:paraId="247F967F" w14:textId="225F732F" w:rsidR="006D6E16" w:rsidRPr="00286078" w:rsidRDefault="006D6E16" w:rsidP="00816534">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6"/>
                <w:lang w:val="es-CR"/>
              </w:rPr>
            </w:pPr>
            <w:r w:rsidRPr="00286078">
              <w:rPr>
                <w:rFonts w:ascii="Arial" w:hAnsi="Arial" w:cs="Arial"/>
                <w:sz w:val="18"/>
                <w:szCs w:val="16"/>
                <w:lang w:val="es-CR"/>
              </w:rPr>
              <w:t>Acciones correctivas</w:t>
            </w:r>
          </w:p>
        </w:tc>
        <w:tc>
          <w:tcPr>
            <w:cnfStyle w:val="000010000000" w:firstRow="0" w:lastRow="0" w:firstColumn="0" w:lastColumn="0" w:oddVBand="1" w:evenVBand="0" w:oddHBand="0" w:evenHBand="0" w:firstRowFirstColumn="0" w:firstRowLastColumn="0" w:lastRowFirstColumn="0" w:lastRowLastColumn="0"/>
            <w:tcW w:w="1262" w:type="pct"/>
            <w:vAlign w:val="center"/>
          </w:tcPr>
          <w:p w14:paraId="4DBD5D2A" w14:textId="26482B1F" w:rsidR="006D6E16" w:rsidRPr="00286078" w:rsidRDefault="006D6E16" w:rsidP="00816534">
            <w:pPr>
              <w:contextualSpacing/>
              <w:jc w:val="center"/>
              <w:rPr>
                <w:rFonts w:ascii="Arial" w:hAnsi="Arial" w:cs="Arial"/>
                <w:bCs w:val="0"/>
                <w:sz w:val="18"/>
                <w:szCs w:val="16"/>
                <w:lang w:val="es-CR"/>
              </w:rPr>
            </w:pPr>
            <w:r w:rsidRPr="00286078">
              <w:rPr>
                <w:rFonts w:ascii="Arial" w:hAnsi="Arial" w:cs="Arial"/>
                <w:sz w:val="18"/>
                <w:szCs w:val="16"/>
                <w:lang w:val="es-CR"/>
              </w:rPr>
              <w:t xml:space="preserve">Razones </w:t>
            </w:r>
          </w:p>
        </w:tc>
      </w:tr>
      <w:tr w:rsidR="00A519A7" w:rsidRPr="00286078" w14:paraId="17815FA0" w14:textId="77777777" w:rsidTr="00A519A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00" w:type="pct"/>
            <w:gridSpan w:val="4"/>
          </w:tcPr>
          <w:p w14:paraId="31F4CDA1" w14:textId="52C630AB" w:rsidR="00A519A7" w:rsidRPr="00286078" w:rsidRDefault="00A519A7" w:rsidP="00416EA2">
            <w:pPr>
              <w:spacing w:after="0" w:line="240" w:lineRule="auto"/>
              <w:contextualSpacing/>
              <w:jc w:val="both"/>
              <w:rPr>
                <w:rFonts w:ascii="Arial" w:hAnsi="Arial" w:cs="Arial"/>
                <w:b w:val="0"/>
                <w:color w:val="C00000"/>
                <w:sz w:val="16"/>
                <w:szCs w:val="20"/>
                <w:lang w:val="es-CR"/>
              </w:rPr>
            </w:pPr>
            <w:r w:rsidRPr="00286078">
              <w:rPr>
                <w:rFonts w:ascii="Arial" w:hAnsi="Arial" w:cs="Arial"/>
                <w:b w:val="0"/>
                <w:sz w:val="16"/>
                <w:szCs w:val="20"/>
                <w:lang w:val="es-CR"/>
              </w:rPr>
              <w:t>No aplica.</w:t>
            </w:r>
          </w:p>
        </w:tc>
      </w:tr>
    </w:tbl>
    <w:p w14:paraId="6EFFC37A" w14:textId="77777777" w:rsidR="001B30CE" w:rsidRPr="00286078" w:rsidRDefault="001B30CE" w:rsidP="004F49FF">
      <w:pPr>
        <w:spacing w:after="0" w:line="240" w:lineRule="auto"/>
        <w:ind w:left="720"/>
        <w:jc w:val="center"/>
        <w:rPr>
          <w:rFonts w:ascii="Arial" w:hAnsi="Arial" w:cs="Arial"/>
          <w:b/>
          <w:color w:val="000000" w:themeColor="text1"/>
          <w:sz w:val="20"/>
          <w:szCs w:val="20"/>
          <w:lang w:val="es-CR" w:eastAsia="es-CR"/>
        </w:rPr>
      </w:pPr>
    </w:p>
    <w:p w14:paraId="0C6EBD79" w14:textId="77777777" w:rsidR="001B30CE" w:rsidRPr="00286078" w:rsidRDefault="001B30CE" w:rsidP="004F49FF">
      <w:pPr>
        <w:spacing w:after="0" w:line="240" w:lineRule="auto"/>
        <w:ind w:left="720"/>
        <w:jc w:val="center"/>
        <w:rPr>
          <w:rFonts w:ascii="Arial" w:hAnsi="Arial" w:cs="Arial"/>
          <w:b/>
          <w:color w:val="000000" w:themeColor="text1"/>
          <w:sz w:val="20"/>
          <w:szCs w:val="20"/>
          <w:lang w:val="es-CR" w:eastAsia="es-CR"/>
        </w:rPr>
      </w:pPr>
    </w:p>
    <w:p w14:paraId="5E939CD6" w14:textId="64FB0153" w:rsidR="004F49FF" w:rsidRPr="00286078" w:rsidRDefault="004F49FF" w:rsidP="004F49FF">
      <w:pPr>
        <w:spacing w:after="0" w:line="240" w:lineRule="auto"/>
        <w:ind w:left="720"/>
        <w:jc w:val="center"/>
        <w:rPr>
          <w:rFonts w:ascii="Arial" w:hAnsi="Arial" w:cs="Arial"/>
          <w:b/>
          <w:bCs/>
          <w:color w:val="000000"/>
          <w:sz w:val="20"/>
          <w:szCs w:val="20"/>
          <w:lang w:val="es-CR" w:eastAsia="es-CR"/>
        </w:rPr>
      </w:pPr>
      <w:r w:rsidRPr="00286078">
        <w:rPr>
          <w:rFonts w:ascii="Arial" w:hAnsi="Arial" w:cs="Arial"/>
          <w:b/>
          <w:color w:val="000000" w:themeColor="text1"/>
          <w:sz w:val="20"/>
          <w:szCs w:val="20"/>
          <w:lang w:val="es-CR" w:eastAsia="es-CR"/>
        </w:rPr>
        <w:t xml:space="preserve">Cuadro </w:t>
      </w:r>
      <w:r w:rsidR="006D6E16" w:rsidRPr="00286078">
        <w:rPr>
          <w:rFonts w:ascii="Arial" w:hAnsi="Arial" w:cs="Arial"/>
          <w:b/>
          <w:color w:val="000000" w:themeColor="text1"/>
          <w:sz w:val="20"/>
          <w:szCs w:val="20"/>
          <w:lang w:val="es-CR" w:eastAsia="es-CR"/>
        </w:rPr>
        <w:t>10</w:t>
      </w:r>
      <w:r w:rsidRPr="00286078">
        <w:rPr>
          <w:rFonts w:ascii="Arial" w:hAnsi="Arial" w:cs="Arial"/>
          <w:color w:val="000000" w:themeColor="text1"/>
          <w:sz w:val="20"/>
          <w:szCs w:val="20"/>
          <w:lang w:val="es-CR" w:eastAsia="es-CR"/>
        </w:rPr>
        <w:t xml:space="preserve">. </w:t>
      </w:r>
      <w:r w:rsidR="001218E3" w:rsidRPr="00286078">
        <w:rPr>
          <w:rFonts w:ascii="Arial" w:hAnsi="Arial" w:cs="Arial"/>
          <w:b/>
          <w:color w:val="000000" w:themeColor="text1"/>
          <w:sz w:val="20"/>
          <w:szCs w:val="20"/>
          <w:lang w:val="es-CR" w:eastAsia="es-CR"/>
        </w:rPr>
        <w:t>Indicadores</w:t>
      </w:r>
      <w:r w:rsidR="00DE5EE9" w:rsidRPr="00286078">
        <w:rPr>
          <w:rFonts w:ascii="Arial" w:hAnsi="Arial" w:cs="Arial"/>
          <w:b/>
          <w:color w:val="000000" w:themeColor="text1"/>
          <w:sz w:val="20"/>
          <w:szCs w:val="20"/>
          <w:lang w:val="es-CR" w:eastAsia="es-CR"/>
        </w:rPr>
        <w:t>.</w:t>
      </w:r>
      <w:r w:rsidR="001218E3" w:rsidRPr="00286078">
        <w:rPr>
          <w:rFonts w:ascii="Arial" w:hAnsi="Arial" w:cs="Arial"/>
          <w:color w:val="000000" w:themeColor="text1"/>
          <w:sz w:val="20"/>
          <w:szCs w:val="20"/>
          <w:lang w:val="es-CR" w:eastAsia="es-CR"/>
        </w:rPr>
        <w:t xml:space="preserve"> </w:t>
      </w:r>
      <w:r w:rsidR="000E15EE" w:rsidRPr="00286078">
        <w:rPr>
          <w:rFonts w:ascii="Arial" w:hAnsi="Arial" w:cs="Arial"/>
          <w:b/>
          <w:sz w:val="20"/>
          <w:szCs w:val="20"/>
          <w:lang w:val="es-CR" w:eastAsia="es-CR"/>
        </w:rPr>
        <w:t>Acciones correctivas y fechas de implementación</w:t>
      </w:r>
      <w:r w:rsidR="00FA7945" w:rsidRPr="00286078">
        <w:rPr>
          <w:rFonts w:ascii="Arial" w:hAnsi="Arial" w:cs="Arial"/>
          <w:b/>
          <w:sz w:val="20"/>
          <w:szCs w:val="20"/>
          <w:lang w:val="es-CR" w:eastAsia="es-CR"/>
        </w:rPr>
        <w:t xml:space="preserve"> </w:t>
      </w:r>
    </w:p>
    <w:p w14:paraId="29614F1A" w14:textId="77777777" w:rsidR="00A519A7" w:rsidRPr="00A519A7" w:rsidRDefault="00A519A7" w:rsidP="00A519A7">
      <w:pPr>
        <w:spacing w:after="0"/>
        <w:ind w:left="720"/>
        <w:jc w:val="center"/>
        <w:rPr>
          <w:rFonts w:ascii="Arial" w:hAnsi="Arial" w:cs="Arial"/>
          <w:sz w:val="20"/>
          <w:szCs w:val="20"/>
          <w:lang w:val="es-ES_tradnl"/>
        </w:rPr>
      </w:pPr>
      <w:r w:rsidRPr="00286078">
        <w:rPr>
          <w:rFonts w:ascii="Arial" w:hAnsi="Arial" w:cs="Arial"/>
          <w:sz w:val="20"/>
          <w:szCs w:val="20"/>
          <w:lang w:val="es-ES_tradnl"/>
        </w:rPr>
        <w:t>Programa 043</w:t>
      </w:r>
    </w:p>
    <w:p w14:paraId="493954D4" w14:textId="77777777" w:rsidR="00737569" w:rsidRDefault="0033611F" w:rsidP="0033611F">
      <w:pPr>
        <w:spacing w:after="0" w:line="240" w:lineRule="auto"/>
        <w:jc w:val="center"/>
        <w:rPr>
          <w:rFonts w:ascii="Arial" w:hAnsi="Arial" w:cs="Arial"/>
          <w:color w:val="000000"/>
          <w:sz w:val="20"/>
          <w:szCs w:val="20"/>
          <w:lang w:val="es-CR" w:eastAsia="es-CR"/>
        </w:rPr>
      </w:pPr>
      <w:r>
        <w:rPr>
          <w:rFonts w:ascii="Arial" w:hAnsi="Arial" w:cs="Arial"/>
          <w:color w:val="000000"/>
          <w:sz w:val="20"/>
          <w:szCs w:val="20"/>
          <w:lang w:val="es-CR" w:eastAsia="es-CR"/>
        </w:rPr>
        <w:t>Cu</w:t>
      </w:r>
      <w:r w:rsidR="004F49FF" w:rsidRPr="00EF3B61">
        <w:rPr>
          <w:rFonts w:ascii="Arial" w:hAnsi="Arial" w:cs="Arial"/>
          <w:color w:val="000000"/>
          <w:sz w:val="20"/>
          <w:szCs w:val="20"/>
          <w:lang w:val="es-CR" w:eastAsia="es-CR"/>
        </w:rPr>
        <w:t>mplimiento menor al 90,00%</w:t>
      </w:r>
    </w:p>
    <w:p w14:paraId="377834B0" w14:textId="77777777" w:rsidR="004F49FF" w:rsidRPr="00EF3B61" w:rsidRDefault="004F49FF" w:rsidP="0033611F">
      <w:pPr>
        <w:spacing w:after="0" w:line="240" w:lineRule="auto"/>
        <w:jc w:val="center"/>
        <w:rPr>
          <w:rFonts w:ascii="Arial" w:hAnsi="Arial" w:cs="Arial"/>
          <w:color w:val="000000"/>
          <w:sz w:val="20"/>
          <w:szCs w:val="20"/>
          <w:lang w:val="es-CR" w:eastAsia="es-CR"/>
        </w:rPr>
      </w:pPr>
      <w:r w:rsidRPr="00EF3B61">
        <w:rPr>
          <w:rFonts w:ascii="Arial" w:hAnsi="Arial" w:cs="Arial"/>
          <w:color w:val="000000"/>
          <w:sz w:val="20"/>
          <w:szCs w:val="20"/>
          <w:lang w:val="es-CR" w:eastAsia="es-CR"/>
        </w:rPr>
        <w:t>al 31</w:t>
      </w:r>
      <w:r w:rsidR="00737569">
        <w:rPr>
          <w:rFonts w:ascii="Arial" w:hAnsi="Arial" w:cs="Arial"/>
          <w:color w:val="000000"/>
          <w:sz w:val="20"/>
          <w:szCs w:val="20"/>
          <w:lang w:val="es-CR" w:eastAsia="es-CR"/>
        </w:rPr>
        <w:t xml:space="preserve"> de diciembre </w:t>
      </w:r>
      <w:r w:rsidRPr="00EF3B61">
        <w:rPr>
          <w:rFonts w:ascii="Arial" w:hAnsi="Arial" w:cs="Arial"/>
          <w:color w:val="000000"/>
          <w:sz w:val="20"/>
          <w:szCs w:val="20"/>
          <w:lang w:val="es-CR" w:eastAsia="es-CR"/>
        </w:rPr>
        <w:t>2021</w:t>
      </w:r>
    </w:p>
    <w:tbl>
      <w:tblPr>
        <w:tblStyle w:val="Listaclara-nfasis1"/>
        <w:tblW w:w="5000" w:type="pct"/>
        <w:tblLook w:val="00A0" w:firstRow="1" w:lastRow="0" w:firstColumn="1" w:lastColumn="0" w:noHBand="0" w:noVBand="0"/>
      </w:tblPr>
      <w:tblGrid>
        <w:gridCol w:w="1116"/>
        <w:gridCol w:w="1387"/>
        <w:gridCol w:w="1493"/>
        <w:gridCol w:w="1493"/>
        <w:gridCol w:w="1407"/>
        <w:gridCol w:w="1588"/>
      </w:tblGrid>
      <w:tr w:rsidR="00DE5EE9" w:rsidRPr="00EF3B61" w14:paraId="429F6212" w14:textId="77777777" w:rsidTr="0098590A">
        <w:trPr>
          <w:cnfStyle w:val="100000000000" w:firstRow="1" w:lastRow="0" w:firstColumn="0" w:lastColumn="0" w:oddVBand="0" w:evenVBand="0" w:oddHBand="0" w:evenHBand="0" w:firstRowFirstColumn="0" w:firstRowLastColumn="0" w:lastRowFirstColumn="0" w:lastRowLastColumn="0"/>
          <w:trHeight w:val="625"/>
          <w:tblHeader/>
        </w:trPr>
        <w:tc>
          <w:tcPr>
            <w:cnfStyle w:val="001000000000" w:firstRow="0" w:lastRow="0" w:firstColumn="1" w:lastColumn="0" w:oddVBand="0" w:evenVBand="0" w:oddHBand="0" w:evenHBand="0" w:firstRowFirstColumn="0" w:firstRowLastColumn="0" w:lastRowFirstColumn="0" w:lastRowLastColumn="0"/>
            <w:tcW w:w="658" w:type="pct"/>
            <w:vAlign w:val="center"/>
          </w:tcPr>
          <w:p w14:paraId="198A1E74" w14:textId="77777777" w:rsidR="00DE5EE9" w:rsidRPr="00EF3B61" w:rsidRDefault="00DE5EE9" w:rsidP="00DE5EE9">
            <w:pPr>
              <w:spacing w:line="360" w:lineRule="auto"/>
              <w:contextualSpacing/>
              <w:jc w:val="center"/>
              <w:rPr>
                <w:rFonts w:ascii="Arial" w:hAnsi="Arial" w:cs="Arial"/>
                <w:bCs w:val="0"/>
                <w:sz w:val="18"/>
                <w:szCs w:val="20"/>
                <w:lang w:val="es-CR"/>
              </w:rPr>
            </w:pPr>
            <w:r w:rsidRPr="00EF3B61">
              <w:rPr>
                <w:rFonts w:ascii="Arial" w:hAnsi="Arial" w:cs="Arial"/>
                <w:sz w:val="18"/>
                <w:szCs w:val="20"/>
                <w:lang w:val="es-CR"/>
              </w:rPr>
              <w:t>Nombre del Indicador</w:t>
            </w:r>
          </w:p>
        </w:tc>
        <w:tc>
          <w:tcPr>
            <w:cnfStyle w:val="000010000000" w:firstRow="0" w:lastRow="0" w:firstColumn="0" w:lastColumn="0" w:oddVBand="1" w:evenVBand="0" w:oddHBand="0" w:evenHBand="0" w:firstRowFirstColumn="0" w:firstRowLastColumn="0" w:lastRowFirstColumn="0" w:lastRowLastColumn="0"/>
            <w:tcW w:w="817" w:type="pct"/>
            <w:vAlign w:val="center"/>
          </w:tcPr>
          <w:p w14:paraId="62BF0BCD" w14:textId="77777777" w:rsidR="00DE5EE9" w:rsidRPr="00EF3B61" w:rsidRDefault="00DE5EE9" w:rsidP="00DE5EE9">
            <w:pPr>
              <w:spacing w:line="360" w:lineRule="auto"/>
              <w:contextualSpacing/>
              <w:jc w:val="center"/>
              <w:rPr>
                <w:rFonts w:ascii="Arial" w:hAnsi="Arial" w:cs="Arial"/>
                <w:sz w:val="18"/>
                <w:szCs w:val="20"/>
                <w:lang w:val="es-CR"/>
              </w:rPr>
            </w:pPr>
            <w:r w:rsidRPr="00EF3B61">
              <w:rPr>
                <w:rFonts w:ascii="Arial" w:hAnsi="Arial" w:cs="Arial"/>
                <w:sz w:val="18"/>
                <w:szCs w:val="20"/>
                <w:lang w:val="es-CR"/>
              </w:rPr>
              <w:t>Nivel de cumplimiento</w:t>
            </w:r>
          </w:p>
        </w:tc>
        <w:tc>
          <w:tcPr>
            <w:tcW w:w="880" w:type="pct"/>
            <w:vAlign w:val="center"/>
          </w:tcPr>
          <w:p w14:paraId="56349223" w14:textId="77777777" w:rsidR="00DE5EE9" w:rsidRPr="00EF3B61" w:rsidRDefault="00DE5EE9" w:rsidP="00DE5EE9">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20"/>
                <w:lang w:val="es-CR"/>
              </w:rPr>
            </w:pPr>
            <w:r w:rsidRPr="00EF3B61">
              <w:rPr>
                <w:rFonts w:ascii="Arial" w:hAnsi="Arial" w:cs="Arial"/>
                <w:sz w:val="18"/>
                <w:szCs w:val="20"/>
                <w:lang w:val="es-CR"/>
              </w:rPr>
              <w:t>Factores que inciden en el cumplimiento</w:t>
            </w:r>
          </w:p>
        </w:tc>
        <w:tc>
          <w:tcPr>
            <w:cnfStyle w:val="000010000000" w:firstRow="0" w:lastRow="0" w:firstColumn="0" w:lastColumn="0" w:oddVBand="1" w:evenVBand="0" w:oddHBand="0" w:evenHBand="0" w:firstRowFirstColumn="0" w:firstRowLastColumn="0" w:lastRowFirstColumn="0" w:lastRowLastColumn="0"/>
            <w:tcW w:w="880" w:type="pct"/>
            <w:vAlign w:val="center"/>
          </w:tcPr>
          <w:p w14:paraId="39D71A50" w14:textId="77777777" w:rsidR="00DE5EE9" w:rsidRPr="00EF3B61" w:rsidRDefault="00DE5EE9" w:rsidP="00DE5EE9">
            <w:pPr>
              <w:spacing w:line="360" w:lineRule="auto"/>
              <w:contextualSpacing/>
              <w:jc w:val="center"/>
              <w:rPr>
                <w:rFonts w:ascii="Arial" w:hAnsi="Arial" w:cs="Arial"/>
                <w:sz w:val="18"/>
                <w:szCs w:val="20"/>
                <w:lang w:val="es-CR"/>
              </w:rPr>
            </w:pPr>
            <w:r w:rsidRPr="00EF3B61">
              <w:rPr>
                <w:rFonts w:ascii="Arial" w:hAnsi="Arial" w:cs="Arial"/>
                <w:sz w:val="18"/>
                <w:szCs w:val="20"/>
                <w:lang w:val="es-CR"/>
              </w:rPr>
              <w:t xml:space="preserve">Acciones correctivas </w:t>
            </w:r>
            <w:r w:rsidRPr="00EF3B61">
              <w:rPr>
                <w:rFonts w:ascii="Arial" w:hAnsi="Arial" w:cs="Arial"/>
                <w:sz w:val="18"/>
                <w:szCs w:val="20"/>
                <w:vertAlign w:val="superscript"/>
                <w:lang w:val="es-CR"/>
              </w:rPr>
              <w:t>/</w:t>
            </w:r>
            <w:r w:rsidR="00E713FD">
              <w:rPr>
                <w:rFonts w:ascii="Arial" w:hAnsi="Arial" w:cs="Arial"/>
                <w:sz w:val="18"/>
                <w:szCs w:val="20"/>
                <w:vertAlign w:val="superscript"/>
                <w:lang w:val="es-CR"/>
              </w:rPr>
              <w:t>1</w:t>
            </w:r>
          </w:p>
        </w:tc>
        <w:tc>
          <w:tcPr>
            <w:tcW w:w="829" w:type="pct"/>
          </w:tcPr>
          <w:p w14:paraId="0C19417D" w14:textId="77777777" w:rsidR="00DE5EE9" w:rsidRPr="00EF3B61" w:rsidRDefault="00DE5EE9" w:rsidP="00DE5EE9">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20"/>
                <w:lang w:val="es-CR"/>
              </w:rPr>
            </w:pPr>
            <w:r>
              <w:rPr>
                <w:rFonts w:ascii="Arial" w:hAnsi="Arial" w:cs="Arial"/>
                <w:sz w:val="18"/>
                <w:szCs w:val="20"/>
                <w:lang w:val="es-CR"/>
              </w:rPr>
              <w:t xml:space="preserve">Persona responsable de brindar la información </w:t>
            </w:r>
          </w:p>
        </w:tc>
        <w:tc>
          <w:tcPr>
            <w:cnfStyle w:val="000010000000" w:firstRow="0" w:lastRow="0" w:firstColumn="0" w:lastColumn="0" w:oddVBand="1" w:evenVBand="0" w:oddHBand="0" w:evenHBand="0" w:firstRowFirstColumn="0" w:firstRowLastColumn="0" w:lastRowFirstColumn="0" w:lastRowLastColumn="0"/>
            <w:tcW w:w="935" w:type="pct"/>
            <w:vAlign w:val="center"/>
          </w:tcPr>
          <w:p w14:paraId="3FF20465" w14:textId="77777777" w:rsidR="00DE5EE9" w:rsidRPr="00EF3B61" w:rsidRDefault="00DE5EE9" w:rsidP="00DE5EE9">
            <w:pPr>
              <w:spacing w:line="360" w:lineRule="auto"/>
              <w:contextualSpacing/>
              <w:jc w:val="center"/>
              <w:rPr>
                <w:rFonts w:ascii="Arial" w:hAnsi="Arial" w:cs="Arial"/>
                <w:bCs w:val="0"/>
                <w:sz w:val="18"/>
                <w:szCs w:val="20"/>
                <w:lang w:val="es-CR"/>
              </w:rPr>
            </w:pPr>
            <w:r w:rsidRPr="00EF3B61">
              <w:rPr>
                <w:rFonts w:ascii="Arial" w:hAnsi="Arial" w:cs="Arial"/>
                <w:sz w:val="18"/>
                <w:szCs w:val="20"/>
                <w:lang w:val="es-CR"/>
              </w:rPr>
              <w:t xml:space="preserve">Fecha de implementación </w:t>
            </w:r>
            <w:r w:rsidRPr="00EF3B61">
              <w:rPr>
                <w:rFonts w:ascii="Arial" w:hAnsi="Arial" w:cs="Arial"/>
                <w:sz w:val="18"/>
                <w:szCs w:val="20"/>
                <w:vertAlign w:val="superscript"/>
                <w:lang w:val="es-CR"/>
              </w:rPr>
              <w:t>/</w:t>
            </w:r>
            <w:r w:rsidR="00E713FD">
              <w:rPr>
                <w:rFonts w:ascii="Arial" w:hAnsi="Arial" w:cs="Arial"/>
                <w:sz w:val="18"/>
                <w:szCs w:val="20"/>
                <w:vertAlign w:val="superscript"/>
                <w:lang w:val="es-CR"/>
              </w:rPr>
              <w:t>2</w:t>
            </w:r>
          </w:p>
        </w:tc>
      </w:tr>
      <w:tr w:rsidR="00A519A7" w:rsidRPr="00EF3B61" w14:paraId="79ED0266" w14:textId="77777777" w:rsidTr="00A519A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00" w:type="pct"/>
            <w:gridSpan w:val="6"/>
          </w:tcPr>
          <w:p w14:paraId="44D6A7B7" w14:textId="6CBA6D6E" w:rsidR="00A519A7" w:rsidRPr="00E47F46" w:rsidRDefault="00A519A7" w:rsidP="00CF0D33">
            <w:pPr>
              <w:spacing w:after="0" w:line="240" w:lineRule="auto"/>
              <w:contextualSpacing/>
              <w:rPr>
                <w:rFonts w:ascii="Arial" w:hAnsi="Arial" w:cs="Arial"/>
                <w:bCs w:val="0"/>
                <w:color w:val="C00000"/>
                <w:sz w:val="16"/>
                <w:szCs w:val="20"/>
                <w:lang w:val="es-CR"/>
              </w:rPr>
            </w:pPr>
            <w:r w:rsidRPr="00A519A7">
              <w:rPr>
                <w:rFonts w:ascii="Arial" w:hAnsi="Arial" w:cs="Arial"/>
                <w:b w:val="0"/>
                <w:sz w:val="16"/>
                <w:szCs w:val="20"/>
                <w:lang w:val="es-CR"/>
              </w:rPr>
              <w:t>No aplica.</w:t>
            </w:r>
          </w:p>
        </w:tc>
      </w:tr>
    </w:tbl>
    <w:p w14:paraId="04D60949" w14:textId="77777777" w:rsidR="00A519A7" w:rsidRDefault="00A519A7" w:rsidP="0033611F">
      <w:pPr>
        <w:spacing w:after="0" w:line="360" w:lineRule="auto"/>
        <w:jc w:val="both"/>
        <w:rPr>
          <w:rFonts w:ascii="Arial" w:hAnsi="Arial" w:cs="Arial"/>
          <w:bCs/>
          <w:sz w:val="20"/>
          <w:szCs w:val="20"/>
        </w:rPr>
      </w:pPr>
    </w:p>
    <w:p w14:paraId="565567F8" w14:textId="7D6F5A63" w:rsidR="00FE11E2" w:rsidRDefault="00871875" w:rsidP="00EB228F">
      <w:pPr>
        <w:spacing w:after="0" w:line="360" w:lineRule="auto"/>
        <w:jc w:val="both"/>
        <w:rPr>
          <w:rFonts w:ascii="Arial" w:hAnsi="Arial" w:cs="Arial"/>
          <w:bCs/>
          <w:sz w:val="20"/>
          <w:szCs w:val="20"/>
        </w:rPr>
      </w:pPr>
      <w:r>
        <w:rPr>
          <w:rFonts w:ascii="Arial" w:hAnsi="Arial" w:cs="Arial"/>
          <w:bCs/>
          <w:sz w:val="20"/>
          <w:szCs w:val="20"/>
        </w:rPr>
        <w:t>Tal y c</w:t>
      </w:r>
      <w:r w:rsidR="001165A3">
        <w:rPr>
          <w:rFonts w:ascii="Arial" w:hAnsi="Arial" w:cs="Arial"/>
          <w:bCs/>
          <w:sz w:val="20"/>
          <w:szCs w:val="20"/>
        </w:rPr>
        <w:t xml:space="preserve">omo se aprecia </w:t>
      </w:r>
      <w:r>
        <w:rPr>
          <w:rFonts w:ascii="Arial" w:hAnsi="Arial" w:cs="Arial"/>
          <w:bCs/>
          <w:sz w:val="20"/>
          <w:szCs w:val="20"/>
        </w:rPr>
        <w:t xml:space="preserve">en </w:t>
      </w:r>
      <w:r w:rsidR="001165A3">
        <w:rPr>
          <w:rFonts w:ascii="Arial" w:hAnsi="Arial" w:cs="Arial"/>
          <w:bCs/>
          <w:sz w:val="20"/>
          <w:szCs w:val="20"/>
        </w:rPr>
        <w:t xml:space="preserve">los cuadros 5 y 8, el ICD </w:t>
      </w:r>
      <w:r>
        <w:rPr>
          <w:rFonts w:ascii="Arial" w:hAnsi="Arial" w:cs="Arial"/>
          <w:bCs/>
          <w:sz w:val="20"/>
          <w:szCs w:val="20"/>
        </w:rPr>
        <w:t>sobrepasó la expectativa inicial respecto a los c</w:t>
      </w:r>
      <w:r w:rsidR="001165A3">
        <w:rPr>
          <w:rFonts w:ascii="Arial" w:hAnsi="Arial" w:cs="Arial"/>
          <w:bCs/>
          <w:sz w:val="20"/>
          <w:szCs w:val="20"/>
        </w:rPr>
        <w:t>ompromisos programados</w:t>
      </w:r>
      <w:r>
        <w:rPr>
          <w:rFonts w:ascii="Arial" w:hAnsi="Arial" w:cs="Arial"/>
          <w:bCs/>
          <w:sz w:val="20"/>
          <w:szCs w:val="20"/>
        </w:rPr>
        <w:t xml:space="preserve"> en el período</w:t>
      </w:r>
      <w:r w:rsidR="001165A3">
        <w:rPr>
          <w:rFonts w:ascii="Arial" w:hAnsi="Arial" w:cs="Arial"/>
          <w:bCs/>
          <w:sz w:val="20"/>
          <w:szCs w:val="20"/>
        </w:rPr>
        <w:t xml:space="preserve">, registrando </w:t>
      </w:r>
      <w:r w:rsidR="00CC26B8">
        <w:rPr>
          <w:rFonts w:ascii="Arial" w:hAnsi="Arial" w:cs="Arial"/>
          <w:bCs/>
          <w:sz w:val="20"/>
          <w:szCs w:val="20"/>
        </w:rPr>
        <w:t>alcances</w:t>
      </w:r>
      <w:r>
        <w:rPr>
          <w:rFonts w:ascii="Arial" w:hAnsi="Arial" w:cs="Arial"/>
          <w:bCs/>
          <w:sz w:val="20"/>
          <w:szCs w:val="20"/>
        </w:rPr>
        <w:t xml:space="preserve"> iguales o</w:t>
      </w:r>
      <w:r w:rsidR="00CC26B8">
        <w:rPr>
          <w:rFonts w:ascii="Arial" w:hAnsi="Arial" w:cs="Arial"/>
          <w:bCs/>
          <w:sz w:val="20"/>
          <w:szCs w:val="20"/>
        </w:rPr>
        <w:t xml:space="preserve"> superiores al 100</w:t>
      </w:r>
      <w:r w:rsidR="00F32231">
        <w:rPr>
          <w:rFonts w:ascii="Arial" w:hAnsi="Arial" w:cs="Arial"/>
          <w:bCs/>
          <w:sz w:val="20"/>
          <w:szCs w:val="20"/>
        </w:rPr>
        <w:t>,00</w:t>
      </w:r>
      <w:r w:rsidR="00CC26B8">
        <w:rPr>
          <w:rFonts w:ascii="Arial" w:hAnsi="Arial" w:cs="Arial"/>
          <w:bCs/>
          <w:sz w:val="20"/>
          <w:szCs w:val="20"/>
        </w:rPr>
        <w:t>%,</w:t>
      </w:r>
      <w:r w:rsidR="002A045C">
        <w:rPr>
          <w:rFonts w:ascii="Arial" w:hAnsi="Arial" w:cs="Arial"/>
          <w:bCs/>
          <w:sz w:val="20"/>
          <w:szCs w:val="20"/>
        </w:rPr>
        <w:t xml:space="preserve"> </w:t>
      </w:r>
      <w:r w:rsidR="00CC26B8">
        <w:rPr>
          <w:rFonts w:ascii="Arial" w:hAnsi="Arial" w:cs="Arial"/>
          <w:bCs/>
          <w:sz w:val="20"/>
          <w:szCs w:val="20"/>
        </w:rPr>
        <w:t xml:space="preserve">debido </w:t>
      </w:r>
      <w:r w:rsidR="002A045C">
        <w:rPr>
          <w:rFonts w:ascii="Arial" w:hAnsi="Arial" w:cs="Arial"/>
          <w:bCs/>
          <w:sz w:val="20"/>
          <w:szCs w:val="20"/>
        </w:rPr>
        <w:t xml:space="preserve">primordialmente </w:t>
      </w:r>
      <w:r w:rsidR="00CC26B8">
        <w:rPr>
          <w:rFonts w:ascii="Arial" w:hAnsi="Arial" w:cs="Arial"/>
          <w:bCs/>
          <w:sz w:val="20"/>
          <w:szCs w:val="20"/>
        </w:rPr>
        <w:t>a incrementos en la demanda de servicios</w:t>
      </w:r>
      <w:r w:rsidR="00226FE6">
        <w:rPr>
          <w:rFonts w:ascii="Arial" w:hAnsi="Arial" w:cs="Arial"/>
          <w:bCs/>
          <w:sz w:val="20"/>
          <w:szCs w:val="20"/>
        </w:rPr>
        <w:t xml:space="preserve"> </w:t>
      </w:r>
      <w:r w:rsidR="00633CB1">
        <w:rPr>
          <w:rFonts w:ascii="Arial" w:hAnsi="Arial" w:cs="Arial"/>
          <w:bCs/>
          <w:sz w:val="20"/>
          <w:szCs w:val="20"/>
        </w:rPr>
        <w:t xml:space="preserve">(subastas, </w:t>
      </w:r>
      <w:r w:rsidR="008B20A1">
        <w:rPr>
          <w:rFonts w:ascii="Arial" w:hAnsi="Arial" w:cs="Arial"/>
          <w:bCs/>
          <w:sz w:val="20"/>
          <w:szCs w:val="20"/>
        </w:rPr>
        <w:t>asesorías, consultas de datos, entre otros</w:t>
      </w:r>
      <w:r w:rsidR="00EB228F">
        <w:rPr>
          <w:rFonts w:ascii="Arial" w:hAnsi="Arial" w:cs="Arial"/>
          <w:bCs/>
          <w:sz w:val="20"/>
          <w:szCs w:val="20"/>
        </w:rPr>
        <w:t>)</w:t>
      </w:r>
      <w:r w:rsidR="002A045C">
        <w:rPr>
          <w:rFonts w:ascii="Arial" w:hAnsi="Arial" w:cs="Arial"/>
          <w:bCs/>
          <w:sz w:val="20"/>
          <w:szCs w:val="20"/>
        </w:rPr>
        <w:t>, r</w:t>
      </w:r>
      <w:r w:rsidR="007B7B8F">
        <w:rPr>
          <w:rFonts w:ascii="Arial" w:hAnsi="Arial" w:cs="Arial"/>
          <w:bCs/>
          <w:sz w:val="20"/>
          <w:szCs w:val="20"/>
        </w:rPr>
        <w:t xml:space="preserve">esultados </w:t>
      </w:r>
      <w:r w:rsidR="00704459">
        <w:rPr>
          <w:rFonts w:ascii="Arial" w:hAnsi="Arial" w:cs="Arial"/>
          <w:bCs/>
          <w:sz w:val="20"/>
          <w:szCs w:val="20"/>
        </w:rPr>
        <w:t>consecuente</w:t>
      </w:r>
      <w:r w:rsidR="007B7B8F">
        <w:rPr>
          <w:rFonts w:ascii="Arial" w:hAnsi="Arial" w:cs="Arial"/>
          <w:bCs/>
          <w:sz w:val="20"/>
          <w:szCs w:val="20"/>
        </w:rPr>
        <w:t>s con</w:t>
      </w:r>
      <w:r w:rsidR="004A156E">
        <w:rPr>
          <w:rFonts w:ascii="Arial" w:hAnsi="Arial" w:cs="Arial"/>
          <w:bCs/>
          <w:sz w:val="20"/>
          <w:szCs w:val="20"/>
        </w:rPr>
        <w:t xml:space="preserve"> la ejecución presupuestaria </w:t>
      </w:r>
      <w:r w:rsidR="006D422D">
        <w:rPr>
          <w:rFonts w:ascii="Arial" w:hAnsi="Arial" w:cs="Arial"/>
          <w:bCs/>
          <w:sz w:val="20"/>
          <w:szCs w:val="20"/>
        </w:rPr>
        <w:t>de</w:t>
      </w:r>
      <w:r>
        <w:rPr>
          <w:rFonts w:ascii="Arial" w:hAnsi="Arial" w:cs="Arial"/>
          <w:bCs/>
          <w:sz w:val="20"/>
          <w:szCs w:val="20"/>
        </w:rPr>
        <w:t xml:space="preserve"> 2021</w:t>
      </w:r>
      <w:r w:rsidR="006D422D">
        <w:rPr>
          <w:rFonts w:ascii="Arial" w:hAnsi="Arial" w:cs="Arial"/>
          <w:bCs/>
          <w:sz w:val="20"/>
          <w:szCs w:val="20"/>
        </w:rPr>
        <w:t>.</w:t>
      </w:r>
    </w:p>
    <w:p w14:paraId="4F8ED9E0" w14:textId="067D8478" w:rsidR="00EB228F" w:rsidRDefault="006D422D" w:rsidP="00EB228F">
      <w:pPr>
        <w:spacing w:before="240" w:after="0" w:line="360" w:lineRule="auto"/>
        <w:jc w:val="both"/>
        <w:rPr>
          <w:rFonts w:ascii="Arial" w:hAnsi="Arial" w:cs="Arial"/>
          <w:bCs/>
          <w:sz w:val="20"/>
          <w:szCs w:val="20"/>
        </w:rPr>
      </w:pPr>
      <w:r>
        <w:rPr>
          <w:rFonts w:ascii="Arial" w:hAnsi="Arial" w:cs="Arial"/>
          <w:bCs/>
          <w:sz w:val="20"/>
          <w:szCs w:val="20"/>
        </w:rPr>
        <w:t>A nivel presupuestario</w:t>
      </w:r>
      <w:r w:rsidR="005D5DBD">
        <w:rPr>
          <w:rFonts w:ascii="Arial" w:hAnsi="Arial" w:cs="Arial"/>
          <w:bCs/>
          <w:sz w:val="20"/>
          <w:szCs w:val="20"/>
        </w:rPr>
        <w:t>,</w:t>
      </w:r>
      <w:r w:rsidR="00EB228F">
        <w:rPr>
          <w:rFonts w:ascii="Arial" w:hAnsi="Arial" w:cs="Arial"/>
          <w:bCs/>
          <w:sz w:val="20"/>
          <w:szCs w:val="20"/>
        </w:rPr>
        <w:t xml:space="preserve"> se obtuvo un porcentaje de ejecución de 91,74% </w:t>
      </w:r>
      <w:r>
        <w:rPr>
          <w:rFonts w:ascii="Arial" w:hAnsi="Arial" w:cs="Arial"/>
          <w:bCs/>
          <w:sz w:val="20"/>
          <w:szCs w:val="20"/>
        </w:rPr>
        <w:t>respecto al</w:t>
      </w:r>
      <w:r w:rsidR="00EB228F">
        <w:rPr>
          <w:rFonts w:ascii="Arial" w:hAnsi="Arial" w:cs="Arial"/>
          <w:bCs/>
          <w:sz w:val="20"/>
          <w:szCs w:val="20"/>
        </w:rPr>
        <w:t xml:space="preserve"> </w:t>
      </w:r>
      <w:r w:rsidR="00DE2D90">
        <w:rPr>
          <w:rFonts w:ascii="Arial" w:hAnsi="Arial" w:cs="Arial"/>
          <w:bCs/>
          <w:sz w:val="20"/>
          <w:szCs w:val="20"/>
        </w:rPr>
        <w:t xml:space="preserve">presupuesto </w:t>
      </w:r>
      <w:r w:rsidR="00EB228F">
        <w:rPr>
          <w:rFonts w:ascii="Arial" w:hAnsi="Arial" w:cs="Arial"/>
          <w:bCs/>
          <w:sz w:val="20"/>
          <w:szCs w:val="20"/>
        </w:rPr>
        <w:t xml:space="preserve">ordinario autorizado, la partida de transferencias corrientes </w:t>
      </w:r>
      <w:r w:rsidR="00DE2D90">
        <w:rPr>
          <w:rFonts w:ascii="Arial" w:hAnsi="Arial" w:cs="Arial"/>
          <w:bCs/>
          <w:sz w:val="20"/>
          <w:szCs w:val="20"/>
        </w:rPr>
        <w:t>fue la</w:t>
      </w:r>
      <w:r w:rsidR="00EB228F">
        <w:rPr>
          <w:rFonts w:ascii="Arial" w:hAnsi="Arial" w:cs="Arial"/>
          <w:bCs/>
          <w:sz w:val="20"/>
          <w:szCs w:val="20"/>
        </w:rPr>
        <w:t xml:space="preserve"> de mayor </w:t>
      </w:r>
      <w:r w:rsidR="00EC2C6A">
        <w:rPr>
          <w:rFonts w:ascii="Arial" w:hAnsi="Arial" w:cs="Arial"/>
          <w:bCs/>
          <w:sz w:val="20"/>
          <w:szCs w:val="20"/>
        </w:rPr>
        <w:t>e</w:t>
      </w:r>
      <w:r w:rsidR="00EB228F">
        <w:rPr>
          <w:rFonts w:ascii="Arial" w:hAnsi="Arial" w:cs="Arial"/>
          <w:bCs/>
          <w:sz w:val="20"/>
          <w:szCs w:val="20"/>
        </w:rPr>
        <w:t xml:space="preserve">jecución </w:t>
      </w:r>
      <w:r w:rsidR="00EC2C6A">
        <w:rPr>
          <w:rFonts w:ascii="Arial" w:hAnsi="Arial" w:cs="Arial"/>
          <w:bCs/>
          <w:sz w:val="20"/>
          <w:szCs w:val="20"/>
        </w:rPr>
        <w:t>(</w:t>
      </w:r>
      <w:r w:rsidR="00EB228F">
        <w:rPr>
          <w:rFonts w:ascii="Arial" w:hAnsi="Arial" w:cs="Arial"/>
          <w:bCs/>
          <w:sz w:val="20"/>
          <w:szCs w:val="20"/>
        </w:rPr>
        <w:t>94,60%</w:t>
      </w:r>
      <w:r w:rsidR="00EC2C6A">
        <w:rPr>
          <w:rFonts w:ascii="Arial" w:hAnsi="Arial" w:cs="Arial"/>
          <w:bCs/>
          <w:sz w:val="20"/>
          <w:szCs w:val="20"/>
        </w:rPr>
        <w:t>)</w:t>
      </w:r>
      <w:r w:rsidR="00EB228F">
        <w:rPr>
          <w:rFonts w:ascii="Arial" w:hAnsi="Arial" w:cs="Arial"/>
          <w:bCs/>
          <w:sz w:val="20"/>
          <w:szCs w:val="20"/>
        </w:rPr>
        <w:t xml:space="preserve">, </w:t>
      </w:r>
      <w:r w:rsidR="00EC2C6A">
        <w:rPr>
          <w:rFonts w:ascii="Arial" w:hAnsi="Arial" w:cs="Arial"/>
          <w:bCs/>
          <w:sz w:val="20"/>
          <w:szCs w:val="20"/>
        </w:rPr>
        <w:t xml:space="preserve">lo que permitió cumplir los objetivos y las </w:t>
      </w:r>
      <w:r w:rsidR="00EB228F">
        <w:rPr>
          <w:rFonts w:ascii="Arial" w:hAnsi="Arial" w:cs="Arial"/>
          <w:bCs/>
          <w:sz w:val="20"/>
          <w:szCs w:val="20"/>
        </w:rPr>
        <w:t xml:space="preserve">metas </w:t>
      </w:r>
      <w:r w:rsidR="00EC2C6A">
        <w:rPr>
          <w:rFonts w:ascii="Arial" w:hAnsi="Arial" w:cs="Arial"/>
          <w:bCs/>
          <w:sz w:val="20"/>
          <w:szCs w:val="20"/>
        </w:rPr>
        <w:t>trazadas de cara al</w:t>
      </w:r>
      <w:r w:rsidR="00EB228F">
        <w:rPr>
          <w:rFonts w:ascii="Arial" w:hAnsi="Arial" w:cs="Arial"/>
          <w:bCs/>
          <w:sz w:val="20"/>
          <w:szCs w:val="20"/>
        </w:rPr>
        <w:t xml:space="preserve"> producto </w:t>
      </w:r>
      <w:r w:rsidR="00EC2C6A">
        <w:rPr>
          <w:rFonts w:ascii="Arial" w:hAnsi="Arial" w:cs="Arial"/>
          <w:bCs/>
          <w:sz w:val="20"/>
          <w:szCs w:val="20"/>
        </w:rPr>
        <w:t>“</w:t>
      </w:r>
      <w:r w:rsidR="00EB228F" w:rsidRPr="00EC2C6A">
        <w:rPr>
          <w:rFonts w:ascii="Arial" w:hAnsi="Arial" w:cs="Arial"/>
          <w:bCs/>
          <w:i/>
          <w:iCs/>
          <w:sz w:val="20"/>
          <w:szCs w:val="20"/>
        </w:rPr>
        <w:t>PF.04. Asistencia a organizaciones gubernamentales y no gubernamentales, para el fortalecimiento del Sistema Nacional de Atención a cargo de la OG y ONG</w:t>
      </w:r>
      <w:r w:rsidR="00EC2C6A">
        <w:rPr>
          <w:rFonts w:ascii="Arial" w:hAnsi="Arial" w:cs="Arial"/>
          <w:bCs/>
          <w:sz w:val="20"/>
          <w:szCs w:val="20"/>
        </w:rPr>
        <w:t>”</w:t>
      </w:r>
      <w:r w:rsidR="00EB228F">
        <w:rPr>
          <w:rFonts w:ascii="Arial" w:hAnsi="Arial" w:cs="Arial"/>
          <w:bCs/>
          <w:sz w:val="20"/>
          <w:szCs w:val="20"/>
        </w:rPr>
        <w:t>.</w:t>
      </w:r>
    </w:p>
    <w:p w14:paraId="3649593E" w14:textId="57EC2CE1" w:rsidR="00EB228F" w:rsidRDefault="00A02EAA" w:rsidP="00EB228F">
      <w:pPr>
        <w:spacing w:before="240" w:after="0" w:line="360" w:lineRule="auto"/>
        <w:jc w:val="both"/>
        <w:rPr>
          <w:rFonts w:ascii="Arial" w:hAnsi="Arial" w:cs="Arial"/>
          <w:bCs/>
          <w:sz w:val="20"/>
          <w:szCs w:val="20"/>
        </w:rPr>
      </w:pPr>
      <w:r>
        <w:rPr>
          <w:rFonts w:ascii="Arial" w:hAnsi="Arial" w:cs="Arial"/>
          <w:bCs/>
          <w:sz w:val="20"/>
          <w:szCs w:val="20"/>
        </w:rPr>
        <w:t xml:space="preserve">En el período hubo un uso racional </w:t>
      </w:r>
      <w:r w:rsidR="00EB228F">
        <w:rPr>
          <w:rFonts w:ascii="Arial" w:hAnsi="Arial" w:cs="Arial"/>
          <w:bCs/>
          <w:sz w:val="20"/>
          <w:szCs w:val="20"/>
        </w:rPr>
        <w:t xml:space="preserve">de los recursos </w:t>
      </w:r>
      <w:r>
        <w:rPr>
          <w:rFonts w:ascii="Arial" w:hAnsi="Arial" w:cs="Arial"/>
          <w:bCs/>
          <w:sz w:val="20"/>
          <w:szCs w:val="20"/>
        </w:rPr>
        <w:t xml:space="preserve">presupuestarios, particularmente en </w:t>
      </w:r>
      <w:r w:rsidR="00581DDF">
        <w:rPr>
          <w:rFonts w:ascii="Arial" w:hAnsi="Arial" w:cs="Arial"/>
          <w:bCs/>
          <w:sz w:val="20"/>
          <w:szCs w:val="20"/>
        </w:rPr>
        <w:t>“</w:t>
      </w:r>
      <w:r w:rsidR="00EB228F">
        <w:rPr>
          <w:rFonts w:ascii="Arial" w:hAnsi="Arial" w:cs="Arial"/>
          <w:bCs/>
          <w:sz w:val="20"/>
          <w:szCs w:val="20"/>
        </w:rPr>
        <w:t>servicios y materiales</w:t>
      </w:r>
      <w:r w:rsidR="00581DDF">
        <w:rPr>
          <w:rFonts w:ascii="Arial" w:hAnsi="Arial" w:cs="Arial"/>
          <w:bCs/>
          <w:sz w:val="20"/>
          <w:szCs w:val="20"/>
        </w:rPr>
        <w:t>”</w:t>
      </w:r>
      <w:r w:rsidR="00EB228F">
        <w:rPr>
          <w:rFonts w:ascii="Arial" w:hAnsi="Arial" w:cs="Arial"/>
          <w:bCs/>
          <w:sz w:val="20"/>
          <w:szCs w:val="20"/>
        </w:rPr>
        <w:t xml:space="preserve">, </w:t>
      </w:r>
      <w:r w:rsidR="00581DDF">
        <w:rPr>
          <w:rFonts w:ascii="Arial" w:hAnsi="Arial" w:cs="Arial"/>
          <w:bCs/>
          <w:sz w:val="20"/>
          <w:szCs w:val="20"/>
        </w:rPr>
        <w:t xml:space="preserve">prueba de ella son los </w:t>
      </w:r>
      <w:r w:rsidR="00EB228F">
        <w:rPr>
          <w:rFonts w:ascii="Arial" w:hAnsi="Arial" w:cs="Arial"/>
          <w:bCs/>
          <w:sz w:val="20"/>
          <w:szCs w:val="20"/>
        </w:rPr>
        <w:t>porcentajes de ejecución inferiores al 90</w:t>
      </w:r>
      <w:r w:rsidR="000B37F4">
        <w:rPr>
          <w:rFonts w:ascii="Arial" w:hAnsi="Arial" w:cs="Arial"/>
          <w:bCs/>
          <w:sz w:val="20"/>
          <w:szCs w:val="20"/>
        </w:rPr>
        <w:t>,00</w:t>
      </w:r>
      <w:r w:rsidR="00EB228F">
        <w:rPr>
          <w:rFonts w:ascii="Arial" w:hAnsi="Arial" w:cs="Arial"/>
          <w:bCs/>
          <w:sz w:val="20"/>
          <w:szCs w:val="20"/>
        </w:rPr>
        <w:t>%</w:t>
      </w:r>
      <w:r w:rsidR="00581DDF">
        <w:rPr>
          <w:rFonts w:ascii="Arial" w:hAnsi="Arial" w:cs="Arial"/>
          <w:bCs/>
          <w:sz w:val="20"/>
          <w:szCs w:val="20"/>
        </w:rPr>
        <w:t xml:space="preserve"> (</w:t>
      </w:r>
      <w:r w:rsidR="00EB228F">
        <w:rPr>
          <w:rFonts w:ascii="Arial" w:hAnsi="Arial" w:cs="Arial"/>
          <w:bCs/>
          <w:sz w:val="20"/>
          <w:szCs w:val="20"/>
        </w:rPr>
        <w:t xml:space="preserve">85,09% en </w:t>
      </w:r>
      <w:r w:rsidR="00581DDF">
        <w:rPr>
          <w:rFonts w:ascii="Arial" w:hAnsi="Arial" w:cs="Arial"/>
          <w:bCs/>
          <w:sz w:val="20"/>
          <w:szCs w:val="20"/>
        </w:rPr>
        <w:t>“</w:t>
      </w:r>
      <w:r w:rsidR="00EB228F">
        <w:rPr>
          <w:rFonts w:ascii="Arial" w:hAnsi="Arial" w:cs="Arial"/>
          <w:bCs/>
          <w:sz w:val="20"/>
          <w:szCs w:val="20"/>
        </w:rPr>
        <w:t>servicios</w:t>
      </w:r>
      <w:r w:rsidR="00581DDF">
        <w:rPr>
          <w:rFonts w:ascii="Arial" w:hAnsi="Arial" w:cs="Arial"/>
          <w:bCs/>
          <w:sz w:val="20"/>
          <w:szCs w:val="20"/>
        </w:rPr>
        <w:t>”</w:t>
      </w:r>
      <w:r w:rsidR="00EB228F">
        <w:rPr>
          <w:rFonts w:ascii="Arial" w:hAnsi="Arial" w:cs="Arial"/>
          <w:bCs/>
          <w:sz w:val="20"/>
          <w:szCs w:val="20"/>
        </w:rPr>
        <w:t xml:space="preserve"> y 64,77% </w:t>
      </w:r>
      <w:r w:rsidR="00581DDF">
        <w:rPr>
          <w:rFonts w:ascii="Arial" w:hAnsi="Arial" w:cs="Arial"/>
          <w:bCs/>
          <w:sz w:val="20"/>
          <w:szCs w:val="20"/>
        </w:rPr>
        <w:t>en</w:t>
      </w:r>
      <w:r w:rsidR="00EB228F">
        <w:rPr>
          <w:rFonts w:ascii="Arial" w:hAnsi="Arial" w:cs="Arial"/>
          <w:bCs/>
          <w:sz w:val="20"/>
          <w:szCs w:val="20"/>
        </w:rPr>
        <w:t xml:space="preserve"> </w:t>
      </w:r>
      <w:r w:rsidR="00581DDF">
        <w:rPr>
          <w:rFonts w:ascii="Arial" w:hAnsi="Arial" w:cs="Arial"/>
          <w:bCs/>
          <w:sz w:val="20"/>
          <w:szCs w:val="20"/>
        </w:rPr>
        <w:t>“</w:t>
      </w:r>
      <w:r w:rsidR="00EB228F">
        <w:rPr>
          <w:rFonts w:ascii="Arial" w:hAnsi="Arial" w:cs="Arial"/>
          <w:bCs/>
          <w:sz w:val="20"/>
          <w:szCs w:val="20"/>
        </w:rPr>
        <w:t>materiales</w:t>
      </w:r>
      <w:r w:rsidR="00581DDF">
        <w:rPr>
          <w:rFonts w:ascii="Arial" w:hAnsi="Arial" w:cs="Arial"/>
          <w:bCs/>
          <w:sz w:val="20"/>
          <w:szCs w:val="20"/>
        </w:rPr>
        <w:t>”)</w:t>
      </w:r>
      <w:r w:rsidR="00155C70">
        <w:rPr>
          <w:rFonts w:ascii="Arial" w:hAnsi="Arial" w:cs="Arial"/>
          <w:bCs/>
          <w:sz w:val="20"/>
          <w:szCs w:val="20"/>
        </w:rPr>
        <w:t xml:space="preserve">. Esta ejecución permitió alcanzar </w:t>
      </w:r>
      <w:r w:rsidR="003532B0">
        <w:rPr>
          <w:rFonts w:ascii="Arial" w:hAnsi="Arial" w:cs="Arial"/>
          <w:bCs/>
          <w:sz w:val="20"/>
          <w:szCs w:val="20"/>
        </w:rPr>
        <w:t xml:space="preserve">la gran mayoría de </w:t>
      </w:r>
      <w:r w:rsidR="00155C70">
        <w:rPr>
          <w:rFonts w:ascii="Arial" w:hAnsi="Arial" w:cs="Arial"/>
          <w:bCs/>
          <w:sz w:val="20"/>
          <w:szCs w:val="20"/>
        </w:rPr>
        <w:t xml:space="preserve">los compromisos vinculantes formalizados en </w:t>
      </w:r>
      <w:r w:rsidR="003532B0">
        <w:rPr>
          <w:rFonts w:ascii="Arial" w:hAnsi="Arial" w:cs="Arial"/>
          <w:bCs/>
          <w:sz w:val="20"/>
          <w:szCs w:val="20"/>
        </w:rPr>
        <w:t>el POI 2021</w:t>
      </w:r>
      <w:r w:rsidR="00EB228F">
        <w:rPr>
          <w:rFonts w:ascii="Arial" w:hAnsi="Arial" w:cs="Arial"/>
          <w:bCs/>
          <w:sz w:val="20"/>
          <w:szCs w:val="20"/>
        </w:rPr>
        <w:t>.</w:t>
      </w:r>
    </w:p>
    <w:p w14:paraId="46EEBB28" w14:textId="3DDF4D50" w:rsidR="00EB228F" w:rsidRDefault="00EF5535" w:rsidP="00286078">
      <w:pPr>
        <w:spacing w:before="240" w:after="0" w:line="360" w:lineRule="auto"/>
        <w:jc w:val="both"/>
        <w:rPr>
          <w:rFonts w:ascii="Arial" w:hAnsi="Arial" w:cs="Arial"/>
          <w:bCs/>
          <w:sz w:val="20"/>
          <w:szCs w:val="20"/>
        </w:rPr>
      </w:pPr>
      <w:r>
        <w:rPr>
          <w:rFonts w:ascii="Arial" w:hAnsi="Arial" w:cs="Arial"/>
          <w:bCs/>
          <w:sz w:val="20"/>
          <w:szCs w:val="20"/>
        </w:rPr>
        <w:lastRenderedPageBreak/>
        <w:t xml:space="preserve">En el período no se lograron los niveles de ejecución presupuestaria deseados en inversión pública, ya que fue hasta este año que el ICD se rigió por los </w:t>
      </w:r>
      <w:r w:rsidR="0099089E">
        <w:rPr>
          <w:rFonts w:ascii="Arial" w:hAnsi="Arial" w:cs="Arial"/>
          <w:bCs/>
          <w:sz w:val="20"/>
          <w:szCs w:val="20"/>
        </w:rPr>
        <w:t xml:space="preserve">lineamientos </w:t>
      </w:r>
      <w:r w:rsidR="00B75785">
        <w:rPr>
          <w:rFonts w:ascii="Arial" w:hAnsi="Arial" w:cs="Arial"/>
          <w:bCs/>
          <w:sz w:val="20"/>
          <w:szCs w:val="20"/>
        </w:rPr>
        <w:t>emanados por</w:t>
      </w:r>
      <w:r w:rsidR="0099089E">
        <w:rPr>
          <w:rFonts w:ascii="Arial" w:hAnsi="Arial" w:cs="Arial"/>
          <w:bCs/>
          <w:sz w:val="20"/>
          <w:szCs w:val="20"/>
        </w:rPr>
        <w:t xml:space="preserve"> la DGAP</w:t>
      </w:r>
      <w:r w:rsidR="00B75785">
        <w:rPr>
          <w:rFonts w:ascii="Arial" w:hAnsi="Arial" w:cs="Arial"/>
          <w:bCs/>
          <w:sz w:val="20"/>
          <w:szCs w:val="20"/>
        </w:rPr>
        <w:t xml:space="preserve"> del Ministerio de Hacienda</w:t>
      </w:r>
      <w:r w:rsidR="00EB228F">
        <w:rPr>
          <w:rFonts w:ascii="Arial" w:hAnsi="Arial" w:cs="Arial"/>
          <w:bCs/>
          <w:sz w:val="20"/>
          <w:szCs w:val="20"/>
        </w:rPr>
        <w:t>.</w:t>
      </w:r>
    </w:p>
    <w:p w14:paraId="3AA5C9D5" w14:textId="053CCD12" w:rsidR="00030D45" w:rsidRDefault="00030D45" w:rsidP="00286078">
      <w:pPr>
        <w:spacing w:before="240" w:after="0" w:line="360" w:lineRule="auto"/>
        <w:jc w:val="both"/>
        <w:rPr>
          <w:rFonts w:ascii="Arial" w:hAnsi="Arial" w:cs="Arial"/>
          <w:bCs/>
          <w:sz w:val="20"/>
          <w:szCs w:val="20"/>
        </w:rPr>
      </w:pPr>
    </w:p>
    <w:p w14:paraId="1779FB56" w14:textId="77777777" w:rsidR="00121D45" w:rsidRPr="0033611F" w:rsidRDefault="00121D45" w:rsidP="00121D45">
      <w:pPr>
        <w:spacing w:line="360" w:lineRule="auto"/>
        <w:jc w:val="both"/>
        <w:rPr>
          <w:rFonts w:ascii="Arial" w:hAnsi="Arial" w:cs="Arial"/>
          <w:bCs/>
          <w:sz w:val="20"/>
          <w:szCs w:val="20"/>
        </w:rPr>
      </w:pPr>
    </w:p>
    <w:tbl>
      <w:tblPr>
        <w:tblStyle w:val="Tabladelista3-nfasis1"/>
        <w:tblW w:w="0" w:type="auto"/>
        <w:jc w:val="center"/>
        <w:tblLook w:val="00A0" w:firstRow="1" w:lastRow="0" w:firstColumn="1" w:lastColumn="0" w:noHBand="0" w:noVBand="0"/>
      </w:tblPr>
      <w:tblGrid>
        <w:gridCol w:w="2547"/>
        <w:gridCol w:w="5947"/>
      </w:tblGrid>
      <w:tr w:rsidR="00121D45" w:rsidRPr="0011789E" w14:paraId="00E6FFDE" w14:textId="77777777" w:rsidTr="00CB1E61">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494" w:type="dxa"/>
            <w:gridSpan w:val="2"/>
          </w:tcPr>
          <w:p w14:paraId="3DABBFB9" w14:textId="0705BEE7" w:rsidR="00121D45" w:rsidRPr="0011789E" w:rsidRDefault="00121D45" w:rsidP="00CB1E61">
            <w:pPr>
              <w:pStyle w:val="Sangra2detindependiente"/>
              <w:ind w:left="0"/>
              <w:jc w:val="both"/>
              <w:rPr>
                <w:rFonts w:ascii="Arial" w:hAnsi="Arial" w:cs="Arial"/>
                <w:bCs w:val="0"/>
                <w:sz w:val="24"/>
                <w:szCs w:val="20"/>
              </w:rPr>
            </w:pPr>
            <w:r w:rsidRPr="0011789E">
              <w:rPr>
                <w:rFonts w:ascii="Arial" w:hAnsi="Arial" w:cs="Arial"/>
                <w:sz w:val="24"/>
                <w:szCs w:val="20"/>
              </w:rPr>
              <w:t xml:space="preserve">Datos del </w:t>
            </w:r>
            <w:proofErr w:type="gramStart"/>
            <w:r w:rsidRPr="0011789E">
              <w:rPr>
                <w:rFonts w:ascii="Arial" w:hAnsi="Arial" w:cs="Arial"/>
                <w:sz w:val="24"/>
                <w:szCs w:val="20"/>
              </w:rPr>
              <w:t>Director</w:t>
            </w:r>
            <w:proofErr w:type="gramEnd"/>
            <w:r w:rsidRPr="0011789E">
              <w:rPr>
                <w:rFonts w:ascii="Arial" w:hAnsi="Arial" w:cs="Arial"/>
                <w:sz w:val="24"/>
                <w:szCs w:val="20"/>
              </w:rPr>
              <w:t xml:space="preserve"> del </w:t>
            </w:r>
            <w:r>
              <w:rPr>
                <w:rFonts w:ascii="Arial" w:hAnsi="Arial" w:cs="Arial"/>
                <w:sz w:val="24"/>
                <w:szCs w:val="20"/>
              </w:rPr>
              <w:t>Centro Gestor 043- Instituto Costarricense sobre Drogas</w:t>
            </w:r>
          </w:p>
        </w:tc>
      </w:tr>
      <w:tr w:rsidR="00121D45" w:rsidRPr="0011789E" w14:paraId="56DA7FDC" w14:textId="77777777" w:rsidTr="00CB1E61">
        <w:trPr>
          <w:cnfStyle w:val="000000100000" w:firstRow="0" w:lastRow="0" w:firstColumn="0" w:lastColumn="0" w:oddVBand="0" w:evenVBand="0" w:oddHBand="1" w:evenHBand="0" w:firstRowFirstColumn="0" w:firstRowLastColumn="0" w:lastRowFirstColumn="0" w:lastRowLastColumn="0"/>
          <w:trHeight w:val="851"/>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38F28B17" w14:textId="77777777" w:rsidR="00121D45" w:rsidRPr="0011789E" w:rsidRDefault="00121D45" w:rsidP="00CB1E61">
            <w:pPr>
              <w:pStyle w:val="Sangra2detindependiente"/>
              <w:ind w:left="0"/>
              <w:jc w:val="both"/>
              <w:rPr>
                <w:rFonts w:ascii="Arial" w:hAnsi="Arial" w:cs="Arial"/>
                <w:bCs w:val="0"/>
                <w:sz w:val="24"/>
                <w:szCs w:val="20"/>
              </w:rPr>
            </w:pPr>
            <w:r w:rsidRPr="0011789E">
              <w:rPr>
                <w:rFonts w:ascii="Arial" w:hAnsi="Arial" w:cs="Arial"/>
                <w:bCs w:val="0"/>
                <w:sz w:val="24"/>
                <w:szCs w:val="20"/>
              </w:rPr>
              <w:t>Nombre</w:t>
            </w:r>
          </w:p>
        </w:tc>
        <w:tc>
          <w:tcPr>
            <w:cnfStyle w:val="000010000000" w:firstRow="0" w:lastRow="0" w:firstColumn="0" w:lastColumn="0" w:oddVBand="1" w:evenVBand="0" w:oddHBand="0" w:evenHBand="0" w:firstRowFirstColumn="0" w:firstRowLastColumn="0" w:lastRowFirstColumn="0" w:lastRowLastColumn="0"/>
            <w:tcW w:w="5947" w:type="dxa"/>
            <w:vAlign w:val="center"/>
          </w:tcPr>
          <w:p w14:paraId="4BCEC7F9" w14:textId="71FC7E38" w:rsidR="00121D45" w:rsidRPr="00566303" w:rsidRDefault="00121D45" w:rsidP="00CB1E61">
            <w:pPr>
              <w:pStyle w:val="Sangra2detindependiente"/>
              <w:ind w:left="0"/>
              <w:jc w:val="both"/>
              <w:rPr>
                <w:rFonts w:ascii="Arial" w:hAnsi="Arial" w:cs="Arial"/>
                <w:bCs/>
                <w:sz w:val="24"/>
                <w:szCs w:val="20"/>
              </w:rPr>
            </w:pPr>
            <w:r>
              <w:rPr>
                <w:rFonts w:ascii="Arial" w:hAnsi="Arial" w:cs="Arial"/>
                <w:bCs/>
                <w:sz w:val="24"/>
                <w:szCs w:val="20"/>
              </w:rPr>
              <w:t>Sergio Rodríguez</w:t>
            </w:r>
            <w:r w:rsidR="00DE6E1B">
              <w:rPr>
                <w:rFonts w:ascii="Arial" w:hAnsi="Arial" w:cs="Arial"/>
                <w:bCs/>
                <w:sz w:val="24"/>
                <w:szCs w:val="20"/>
              </w:rPr>
              <w:t xml:space="preserve"> Fernández</w:t>
            </w:r>
          </w:p>
        </w:tc>
      </w:tr>
      <w:tr w:rsidR="00121D45" w:rsidRPr="0011789E" w14:paraId="42C112AD" w14:textId="77777777" w:rsidTr="00CB1E61">
        <w:trPr>
          <w:trHeight w:val="851"/>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1768040D" w14:textId="77777777" w:rsidR="00121D45" w:rsidRPr="0011789E" w:rsidRDefault="00121D45" w:rsidP="00CB1E61">
            <w:pPr>
              <w:pStyle w:val="Sangra2detindependiente"/>
              <w:ind w:left="0"/>
              <w:jc w:val="both"/>
              <w:rPr>
                <w:rFonts w:ascii="Arial" w:hAnsi="Arial" w:cs="Arial"/>
                <w:bCs w:val="0"/>
                <w:sz w:val="24"/>
                <w:szCs w:val="20"/>
              </w:rPr>
            </w:pPr>
            <w:r w:rsidRPr="0011789E">
              <w:rPr>
                <w:rFonts w:ascii="Arial" w:hAnsi="Arial" w:cs="Arial"/>
                <w:bCs w:val="0"/>
                <w:sz w:val="24"/>
                <w:szCs w:val="20"/>
              </w:rPr>
              <w:t>Correo electrónico</w:t>
            </w:r>
          </w:p>
        </w:tc>
        <w:tc>
          <w:tcPr>
            <w:cnfStyle w:val="000010000000" w:firstRow="0" w:lastRow="0" w:firstColumn="0" w:lastColumn="0" w:oddVBand="1" w:evenVBand="0" w:oddHBand="0" w:evenHBand="0" w:firstRowFirstColumn="0" w:firstRowLastColumn="0" w:lastRowFirstColumn="0" w:lastRowLastColumn="0"/>
            <w:tcW w:w="5947" w:type="dxa"/>
            <w:vAlign w:val="center"/>
          </w:tcPr>
          <w:p w14:paraId="0C701422" w14:textId="1D6FAC85" w:rsidR="00121D45" w:rsidRPr="00566303" w:rsidRDefault="001A62C7" w:rsidP="00CB1E61">
            <w:pPr>
              <w:pStyle w:val="Sangra2detindependiente"/>
              <w:ind w:left="0"/>
              <w:jc w:val="both"/>
              <w:rPr>
                <w:rFonts w:ascii="Arial" w:hAnsi="Arial" w:cs="Arial"/>
                <w:bCs/>
                <w:sz w:val="24"/>
                <w:szCs w:val="20"/>
              </w:rPr>
            </w:pPr>
            <w:hyperlink r:id="rId16" w:history="1">
              <w:r w:rsidR="00DE6E1B" w:rsidRPr="00DA7C55">
                <w:rPr>
                  <w:rStyle w:val="Hipervnculo"/>
                  <w:rFonts w:ascii="Arial" w:hAnsi="Arial" w:cs="Arial"/>
                  <w:bCs/>
                  <w:sz w:val="24"/>
                  <w:szCs w:val="20"/>
                </w:rPr>
                <w:t>srodriguez@icd.go.cr</w:t>
              </w:r>
            </w:hyperlink>
          </w:p>
        </w:tc>
      </w:tr>
      <w:tr w:rsidR="00121D45" w:rsidRPr="0011789E" w14:paraId="71601271" w14:textId="77777777" w:rsidTr="00CB1E61">
        <w:trPr>
          <w:cnfStyle w:val="000000100000" w:firstRow="0" w:lastRow="0" w:firstColumn="0" w:lastColumn="0" w:oddVBand="0" w:evenVBand="0" w:oddHBand="1" w:evenHBand="0" w:firstRowFirstColumn="0" w:firstRowLastColumn="0" w:lastRowFirstColumn="0" w:lastRowLastColumn="0"/>
          <w:trHeight w:val="851"/>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03F644C7" w14:textId="77777777" w:rsidR="00121D45" w:rsidRPr="0011789E" w:rsidRDefault="00121D45" w:rsidP="00CB1E61">
            <w:pPr>
              <w:pStyle w:val="Sangra2detindependiente"/>
              <w:ind w:left="0"/>
              <w:jc w:val="both"/>
              <w:rPr>
                <w:rFonts w:ascii="Arial" w:hAnsi="Arial" w:cs="Arial"/>
                <w:bCs w:val="0"/>
                <w:sz w:val="24"/>
                <w:szCs w:val="20"/>
              </w:rPr>
            </w:pPr>
            <w:r w:rsidRPr="0011789E">
              <w:rPr>
                <w:rFonts w:ascii="Arial" w:hAnsi="Arial" w:cs="Arial"/>
                <w:bCs w:val="0"/>
                <w:sz w:val="24"/>
                <w:szCs w:val="20"/>
              </w:rPr>
              <w:t>Teléfono</w:t>
            </w:r>
          </w:p>
        </w:tc>
        <w:tc>
          <w:tcPr>
            <w:cnfStyle w:val="000010000000" w:firstRow="0" w:lastRow="0" w:firstColumn="0" w:lastColumn="0" w:oddVBand="1" w:evenVBand="0" w:oddHBand="0" w:evenHBand="0" w:firstRowFirstColumn="0" w:firstRowLastColumn="0" w:lastRowFirstColumn="0" w:lastRowLastColumn="0"/>
            <w:tcW w:w="5947" w:type="dxa"/>
            <w:vAlign w:val="center"/>
          </w:tcPr>
          <w:p w14:paraId="19B9362D" w14:textId="520B2411" w:rsidR="00121D45" w:rsidRPr="00566303" w:rsidRDefault="00DE6E1B" w:rsidP="00CB1E61">
            <w:pPr>
              <w:pStyle w:val="Sangra2detindependiente"/>
              <w:ind w:left="0"/>
              <w:jc w:val="both"/>
              <w:rPr>
                <w:rFonts w:ascii="Arial" w:hAnsi="Arial" w:cs="Arial"/>
                <w:bCs/>
                <w:sz w:val="24"/>
                <w:szCs w:val="20"/>
              </w:rPr>
            </w:pPr>
            <w:r>
              <w:rPr>
                <w:rFonts w:ascii="Arial" w:hAnsi="Arial" w:cs="Arial"/>
                <w:bCs/>
                <w:sz w:val="24"/>
                <w:szCs w:val="20"/>
              </w:rPr>
              <w:t>2527-6444</w:t>
            </w:r>
          </w:p>
        </w:tc>
      </w:tr>
      <w:tr w:rsidR="00121D45" w:rsidRPr="0011789E" w14:paraId="7BC539AF" w14:textId="77777777" w:rsidTr="00CB1E61">
        <w:trPr>
          <w:trHeight w:val="851"/>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0DB07ECD" w14:textId="77777777" w:rsidR="00121D45" w:rsidRPr="00566303" w:rsidRDefault="00121D45" w:rsidP="00CB1E61">
            <w:pPr>
              <w:pStyle w:val="Sangra2detindependiente"/>
              <w:ind w:left="0"/>
              <w:jc w:val="both"/>
              <w:rPr>
                <w:rFonts w:ascii="Arial" w:hAnsi="Arial" w:cs="Arial"/>
                <w:bCs w:val="0"/>
                <w:sz w:val="24"/>
                <w:szCs w:val="20"/>
              </w:rPr>
            </w:pPr>
            <w:r w:rsidRPr="0011789E">
              <w:rPr>
                <w:rFonts w:ascii="Arial" w:hAnsi="Arial" w:cs="Arial"/>
                <w:bCs w:val="0"/>
                <w:sz w:val="24"/>
                <w:szCs w:val="20"/>
              </w:rPr>
              <w:t>Firma digital</w:t>
            </w:r>
          </w:p>
        </w:tc>
        <w:tc>
          <w:tcPr>
            <w:cnfStyle w:val="000010000000" w:firstRow="0" w:lastRow="0" w:firstColumn="0" w:lastColumn="0" w:oddVBand="1" w:evenVBand="0" w:oddHBand="0" w:evenHBand="0" w:firstRowFirstColumn="0" w:firstRowLastColumn="0" w:lastRowFirstColumn="0" w:lastRowLastColumn="0"/>
            <w:tcW w:w="5947" w:type="dxa"/>
            <w:vAlign w:val="center"/>
          </w:tcPr>
          <w:p w14:paraId="57B2AE0E" w14:textId="77777777" w:rsidR="00121D45" w:rsidRDefault="00121D45" w:rsidP="00CB1E61">
            <w:pPr>
              <w:pStyle w:val="Sangra2detindependiente"/>
              <w:ind w:left="0"/>
              <w:jc w:val="both"/>
              <w:rPr>
                <w:rFonts w:ascii="Arial" w:hAnsi="Arial" w:cs="Arial"/>
                <w:bCs/>
                <w:sz w:val="24"/>
                <w:szCs w:val="20"/>
              </w:rPr>
            </w:pPr>
          </w:p>
          <w:p w14:paraId="3FFA35E2" w14:textId="77777777" w:rsidR="00DE6E1B" w:rsidRDefault="00DE6E1B" w:rsidP="00CB1E61">
            <w:pPr>
              <w:pStyle w:val="Sangra2detindependiente"/>
              <w:ind w:left="0"/>
              <w:jc w:val="both"/>
              <w:rPr>
                <w:rFonts w:ascii="Arial" w:hAnsi="Arial" w:cs="Arial"/>
                <w:bCs/>
                <w:sz w:val="24"/>
                <w:szCs w:val="20"/>
              </w:rPr>
            </w:pPr>
          </w:p>
          <w:p w14:paraId="66AC2C77" w14:textId="77777777" w:rsidR="00DE6E1B" w:rsidRDefault="00DE6E1B" w:rsidP="00CB1E61">
            <w:pPr>
              <w:pStyle w:val="Sangra2detindependiente"/>
              <w:ind w:left="0"/>
              <w:jc w:val="both"/>
              <w:rPr>
                <w:rFonts w:ascii="Arial" w:hAnsi="Arial" w:cs="Arial"/>
                <w:bCs/>
                <w:sz w:val="24"/>
                <w:szCs w:val="20"/>
              </w:rPr>
            </w:pPr>
          </w:p>
          <w:p w14:paraId="1631E5A8" w14:textId="77777777" w:rsidR="00DE6E1B" w:rsidRDefault="00DE6E1B" w:rsidP="00CB1E61">
            <w:pPr>
              <w:pStyle w:val="Sangra2detindependiente"/>
              <w:ind w:left="0"/>
              <w:jc w:val="both"/>
              <w:rPr>
                <w:rFonts w:ascii="Arial" w:hAnsi="Arial" w:cs="Arial"/>
                <w:bCs/>
                <w:sz w:val="24"/>
                <w:szCs w:val="20"/>
              </w:rPr>
            </w:pPr>
          </w:p>
          <w:p w14:paraId="34918336" w14:textId="77777777" w:rsidR="00DE6E1B" w:rsidRDefault="00DE6E1B" w:rsidP="00CB1E61">
            <w:pPr>
              <w:pStyle w:val="Sangra2detindependiente"/>
              <w:ind w:left="0"/>
              <w:jc w:val="both"/>
              <w:rPr>
                <w:rFonts w:ascii="Arial" w:hAnsi="Arial" w:cs="Arial"/>
                <w:bCs/>
                <w:sz w:val="24"/>
                <w:szCs w:val="20"/>
              </w:rPr>
            </w:pPr>
          </w:p>
          <w:p w14:paraId="7CDE9489" w14:textId="77777777" w:rsidR="00DE6E1B" w:rsidRDefault="00DE6E1B" w:rsidP="00CB1E61">
            <w:pPr>
              <w:pStyle w:val="Sangra2detindependiente"/>
              <w:ind w:left="0"/>
              <w:jc w:val="both"/>
              <w:rPr>
                <w:rFonts w:ascii="Arial" w:hAnsi="Arial" w:cs="Arial"/>
                <w:bCs/>
                <w:sz w:val="24"/>
                <w:szCs w:val="20"/>
              </w:rPr>
            </w:pPr>
          </w:p>
          <w:p w14:paraId="3BD4D12B" w14:textId="77777777" w:rsidR="00DE6E1B" w:rsidRDefault="00DE6E1B" w:rsidP="00CB1E61">
            <w:pPr>
              <w:pStyle w:val="Sangra2detindependiente"/>
              <w:ind w:left="0"/>
              <w:jc w:val="both"/>
              <w:rPr>
                <w:rFonts w:ascii="Arial" w:hAnsi="Arial" w:cs="Arial"/>
                <w:bCs/>
                <w:sz w:val="24"/>
                <w:szCs w:val="20"/>
              </w:rPr>
            </w:pPr>
          </w:p>
          <w:p w14:paraId="46FD3ACA" w14:textId="01F55544" w:rsidR="00DE6E1B" w:rsidRPr="00596BA4" w:rsidRDefault="00DE6E1B" w:rsidP="00CB1E61">
            <w:pPr>
              <w:pStyle w:val="Sangra2detindependiente"/>
              <w:ind w:left="0"/>
              <w:jc w:val="both"/>
              <w:rPr>
                <w:rFonts w:ascii="Arial" w:hAnsi="Arial" w:cs="Arial"/>
                <w:bCs/>
                <w:sz w:val="24"/>
                <w:szCs w:val="20"/>
              </w:rPr>
            </w:pPr>
          </w:p>
        </w:tc>
      </w:tr>
    </w:tbl>
    <w:p w14:paraId="293E3B69" w14:textId="77777777" w:rsidR="00121D45" w:rsidRDefault="00121D45" w:rsidP="00121D45">
      <w:pPr>
        <w:pStyle w:val="Sangra2detindependiente"/>
        <w:ind w:left="0"/>
        <w:jc w:val="both"/>
        <w:rPr>
          <w:rFonts w:ascii="Arial" w:hAnsi="Arial" w:cs="Arial"/>
          <w:bCs/>
          <w:sz w:val="20"/>
          <w:szCs w:val="20"/>
          <w:highlight w:val="yellow"/>
        </w:rPr>
      </w:pPr>
    </w:p>
    <w:p w14:paraId="5379E6B6" w14:textId="77777777" w:rsidR="00121D45" w:rsidRDefault="00121D45" w:rsidP="00121D45">
      <w:pPr>
        <w:pStyle w:val="Sangra2detindependiente"/>
        <w:ind w:left="0"/>
        <w:jc w:val="both"/>
        <w:rPr>
          <w:rFonts w:ascii="Arial" w:hAnsi="Arial" w:cs="Arial"/>
          <w:bCs/>
          <w:sz w:val="20"/>
          <w:szCs w:val="20"/>
          <w:highlight w:val="yellow"/>
        </w:rPr>
      </w:pPr>
    </w:p>
    <w:p w14:paraId="0893D31B" w14:textId="77777777" w:rsidR="00030D45" w:rsidRPr="00121D45" w:rsidRDefault="00030D45" w:rsidP="00286078">
      <w:pPr>
        <w:spacing w:before="240" w:after="0" w:line="360" w:lineRule="auto"/>
        <w:jc w:val="both"/>
        <w:rPr>
          <w:rFonts w:ascii="Arial" w:hAnsi="Arial" w:cs="Arial"/>
          <w:bCs/>
          <w:sz w:val="20"/>
          <w:szCs w:val="20"/>
          <w:lang w:val="es-MX"/>
        </w:rPr>
      </w:pPr>
    </w:p>
    <w:sectPr w:rsidR="00030D45" w:rsidRPr="00121D45" w:rsidSect="00B04C62">
      <w:pgSz w:w="12242" w:h="15842" w:code="1"/>
      <w:pgMar w:top="1417" w:right="1701" w:bottom="1417" w:left="1701" w:header="737" w:footer="567" w:gutter="0"/>
      <w:cols w:space="708" w:equalWidth="0">
        <w:col w:w="8504"/>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6719A" w14:textId="77777777" w:rsidR="001A62C7" w:rsidRDefault="001A62C7">
      <w:r>
        <w:separator/>
      </w:r>
    </w:p>
  </w:endnote>
  <w:endnote w:type="continuationSeparator" w:id="0">
    <w:p w14:paraId="43D32759" w14:textId="77777777" w:rsidR="001A62C7" w:rsidRDefault="001A62C7">
      <w:r>
        <w:continuationSeparator/>
      </w:r>
    </w:p>
  </w:endnote>
  <w:endnote w:type="continuationNotice" w:id="1">
    <w:p w14:paraId="1692FE68" w14:textId="77777777" w:rsidR="001A62C7" w:rsidRDefault="001A62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93394"/>
      <w:docPartObj>
        <w:docPartGallery w:val="Page Numbers (Bottom of Page)"/>
        <w:docPartUnique/>
      </w:docPartObj>
    </w:sdtPr>
    <w:sdtEndPr/>
    <w:sdtContent>
      <w:p w14:paraId="6C59FA77" w14:textId="77777777" w:rsidR="00F3273F" w:rsidRDefault="00F3273F">
        <w:pPr>
          <w:pStyle w:val="Piedepgina"/>
          <w:jc w:val="right"/>
        </w:pPr>
        <w:r>
          <w:fldChar w:fldCharType="begin"/>
        </w:r>
        <w:r>
          <w:instrText>PAGE   \* MERGEFORMAT</w:instrText>
        </w:r>
        <w:r>
          <w:fldChar w:fldCharType="separate"/>
        </w:r>
        <w:r>
          <w:rPr>
            <w:noProof/>
          </w:rPr>
          <w:t>11</w:t>
        </w:r>
        <w:r>
          <w:fldChar w:fldCharType="end"/>
        </w:r>
      </w:p>
    </w:sdtContent>
  </w:sdt>
  <w:p w14:paraId="52EA8843" w14:textId="77777777" w:rsidR="00F3273F" w:rsidRPr="00EB7BAD" w:rsidRDefault="00F3273F" w:rsidP="00E54F02">
    <w:pPr>
      <w:pStyle w:val="Piedepgina"/>
      <w:tabs>
        <w:tab w:val="right" w:pos="8789"/>
      </w:tabs>
      <w:spacing w:before="120" w:after="100" w:afterAutospacing="1"/>
      <w:jc w:val="center"/>
      <w:rPr>
        <w:lang w:val="es-C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192536"/>
      <w:docPartObj>
        <w:docPartGallery w:val="Page Numbers (Bottom of Page)"/>
        <w:docPartUnique/>
      </w:docPartObj>
    </w:sdtPr>
    <w:sdtEndPr/>
    <w:sdtContent>
      <w:p w14:paraId="1216C362" w14:textId="77777777" w:rsidR="00F3273F" w:rsidRDefault="00F3273F">
        <w:pPr>
          <w:pStyle w:val="Piedepgina"/>
          <w:jc w:val="right"/>
        </w:pPr>
        <w:r>
          <w:fldChar w:fldCharType="begin"/>
        </w:r>
        <w:r>
          <w:instrText>PAGE   \* MERGEFORMAT</w:instrText>
        </w:r>
        <w:r>
          <w:fldChar w:fldCharType="separate"/>
        </w:r>
        <w:r>
          <w:t>2</w:t>
        </w:r>
        <w:r>
          <w:fldChar w:fldCharType="end"/>
        </w:r>
      </w:p>
    </w:sdtContent>
  </w:sdt>
  <w:p w14:paraId="0E524E50" w14:textId="77777777" w:rsidR="00F3273F" w:rsidRDefault="00F327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004C6" w14:textId="77777777" w:rsidR="001A62C7" w:rsidRDefault="001A62C7">
      <w:r>
        <w:separator/>
      </w:r>
    </w:p>
  </w:footnote>
  <w:footnote w:type="continuationSeparator" w:id="0">
    <w:p w14:paraId="62B15602" w14:textId="77777777" w:rsidR="001A62C7" w:rsidRDefault="001A62C7">
      <w:r>
        <w:continuationSeparator/>
      </w:r>
    </w:p>
  </w:footnote>
  <w:footnote w:type="continuationNotice" w:id="1">
    <w:p w14:paraId="7A38D2F3" w14:textId="77777777" w:rsidR="001A62C7" w:rsidRDefault="001A62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F3E0" w14:textId="77777777" w:rsidR="00851CD1" w:rsidRDefault="00851C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68F"/>
    <w:multiLevelType w:val="hybridMultilevel"/>
    <w:tmpl w:val="0736F6A8"/>
    <w:lvl w:ilvl="0" w:tplc="2F926668">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EB7405E"/>
    <w:multiLevelType w:val="hybridMultilevel"/>
    <w:tmpl w:val="C400BC2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1174D24"/>
    <w:multiLevelType w:val="hybridMultilevel"/>
    <w:tmpl w:val="246E0564"/>
    <w:lvl w:ilvl="0" w:tplc="140A0011">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2844"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1CD24D7A"/>
    <w:multiLevelType w:val="multilevel"/>
    <w:tmpl w:val="6186A82C"/>
    <w:lvl w:ilvl="0">
      <w:start w:val="1"/>
      <w:numFmt w:val="decimal"/>
      <w:lvlText w:val="%1"/>
      <w:lvlJc w:val="left"/>
      <w:pPr>
        <w:ind w:left="432" w:hanging="432"/>
      </w:pPr>
    </w:lvl>
    <w:lvl w:ilvl="1">
      <w:start w:val="1"/>
      <w:numFmt w:val="decimal"/>
      <w:lvlText w:val="%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C66E1D"/>
    <w:multiLevelType w:val="multilevel"/>
    <w:tmpl w:val="3504631E"/>
    <w:lvl w:ilvl="0">
      <w:start w:val="1"/>
      <w:numFmt w:val="decimal"/>
      <w:lvlText w:val="%1"/>
      <w:lvlJc w:val="left"/>
      <w:pPr>
        <w:ind w:left="432" w:hanging="432"/>
      </w:pPr>
    </w:lvl>
    <w:lvl w:ilvl="1">
      <w:start w:val="1"/>
      <w:numFmt w:val="decimal"/>
      <w:lvlText w:val="3.%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3522E56"/>
    <w:multiLevelType w:val="hybridMultilevel"/>
    <w:tmpl w:val="2BE2F11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DA66408"/>
    <w:multiLevelType w:val="multilevel"/>
    <w:tmpl w:val="9084ABAC"/>
    <w:lvl w:ilvl="0">
      <w:start w:val="3"/>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31277292"/>
    <w:multiLevelType w:val="hybridMultilevel"/>
    <w:tmpl w:val="20B62652"/>
    <w:lvl w:ilvl="0" w:tplc="45AC50AC">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32A1B95"/>
    <w:multiLevelType w:val="hybridMultilevel"/>
    <w:tmpl w:val="F87A1A78"/>
    <w:lvl w:ilvl="0" w:tplc="BBD2E42E">
      <w:start w:val="1"/>
      <w:numFmt w:val="bullet"/>
      <w:lvlText w:val=""/>
      <w:lvlJc w:val="left"/>
      <w:pPr>
        <w:ind w:left="720" w:hanging="360"/>
      </w:pPr>
      <w:rPr>
        <w:rFonts w:ascii="Symbol" w:hAnsi="Symbol" w:hint="default"/>
        <w:color w:val="auto"/>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422B255B"/>
    <w:multiLevelType w:val="hybridMultilevel"/>
    <w:tmpl w:val="B1580D3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B007E0F"/>
    <w:multiLevelType w:val="hybridMultilevel"/>
    <w:tmpl w:val="1B0A99EE"/>
    <w:lvl w:ilvl="0" w:tplc="140A000F">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4B31B26"/>
    <w:multiLevelType w:val="hybridMultilevel"/>
    <w:tmpl w:val="50B0010A"/>
    <w:lvl w:ilvl="0" w:tplc="140A000F">
      <w:start w:val="1"/>
      <w:numFmt w:val="decimal"/>
      <w:lvlText w:val="%1."/>
      <w:lvlJc w:val="left"/>
      <w:pPr>
        <w:ind w:left="720" w:hanging="360"/>
      </w:pPr>
    </w:lvl>
    <w:lvl w:ilvl="1" w:tplc="140A0011">
      <w:start w:val="1"/>
      <w:numFmt w:val="decimal"/>
      <w:lvlText w:val="%2)"/>
      <w:lvlJc w:val="left"/>
      <w:pPr>
        <w:ind w:left="1785" w:hanging="705"/>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8A44E40"/>
    <w:multiLevelType w:val="hybridMultilevel"/>
    <w:tmpl w:val="6D0CDAC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70A66B30"/>
    <w:multiLevelType w:val="hybridMultilevel"/>
    <w:tmpl w:val="AB206264"/>
    <w:lvl w:ilvl="0" w:tplc="1492A7CE">
      <w:start w:val="1"/>
      <w:numFmt w:val="bullet"/>
      <w:lvlText w:val="•"/>
      <w:lvlJc w:val="left"/>
      <w:pPr>
        <w:tabs>
          <w:tab w:val="num" w:pos="720"/>
        </w:tabs>
        <w:ind w:left="720" w:hanging="360"/>
      </w:pPr>
      <w:rPr>
        <w:rFonts w:ascii="Times New Roman" w:hAnsi="Times New Roman" w:hint="default"/>
      </w:rPr>
    </w:lvl>
    <w:lvl w:ilvl="1" w:tplc="F386DF48" w:tentative="1">
      <w:start w:val="1"/>
      <w:numFmt w:val="bullet"/>
      <w:lvlText w:val="•"/>
      <w:lvlJc w:val="left"/>
      <w:pPr>
        <w:tabs>
          <w:tab w:val="num" w:pos="1440"/>
        </w:tabs>
        <w:ind w:left="1440" w:hanging="360"/>
      </w:pPr>
      <w:rPr>
        <w:rFonts w:ascii="Times New Roman" w:hAnsi="Times New Roman" w:hint="default"/>
      </w:rPr>
    </w:lvl>
    <w:lvl w:ilvl="2" w:tplc="76201206" w:tentative="1">
      <w:start w:val="1"/>
      <w:numFmt w:val="bullet"/>
      <w:lvlText w:val="•"/>
      <w:lvlJc w:val="left"/>
      <w:pPr>
        <w:tabs>
          <w:tab w:val="num" w:pos="2160"/>
        </w:tabs>
        <w:ind w:left="2160" w:hanging="360"/>
      </w:pPr>
      <w:rPr>
        <w:rFonts w:ascii="Times New Roman" w:hAnsi="Times New Roman" w:hint="default"/>
      </w:rPr>
    </w:lvl>
    <w:lvl w:ilvl="3" w:tplc="B38446D2" w:tentative="1">
      <w:start w:val="1"/>
      <w:numFmt w:val="bullet"/>
      <w:lvlText w:val="•"/>
      <w:lvlJc w:val="left"/>
      <w:pPr>
        <w:tabs>
          <w:tab w:val="num" w:pos="2880"/>
        </w:tabs>
        <w:ind w:left="2880" w:hanging="360"/>
      </w:pPr>
      <w:rPr>
        <w:rFonts w:ascii="Times New Roman" w:hAnsi="Times New Roman" w:hint="default"/>
      </w:rPr>
    </w:lvl>
    <w:lvl w:ilvl="4" w:tplc="3CCA7D9A" w:tentative="1">
      <w:start w:val="1"/>
      <w:numFmt w:val="bullet"/>
      <w:lvlText w:val="•"/>
      <w:lvlJc w:val="left"/>
      <w:pPr>
        <w:tabs>
          <w:tab w:val="num" w:pos="3600"/>
        </w:tabs>
        <w:ind w:left="3600" w:hanging="360"/>
      </w:pPr>
      <w:rPr>
        <w:rFonts w:ascii="Times New Roman" w:hAnsi="Times New Roman" w:hint="default"/>
      </w:rPr>
    </w:lvl>
    <w:lvl w:ilvl="5" w:tplc="DE9A6FA8" w:tentative="1">
      <w:start w:val="1"/>
      <w:numFmt w:val="bullet"/>
      <w:lvlText w:val="•"/>
      <w:lvlJc w:val="left"/>
      <w:pPr>
        <w:tabs>
          <w:tab w:val="num" w:pos="4320"/>
        </w:tabs>
        <w:ind w:left="4320" w:hanging="360"/>
      </w:pPr>
      <w:rPr>
        <w:rFonts w:ascii="Times New Roman" w:hAnsi="Times New Roman" w:hint="default"/>
      </w:rPr>
    </w:lvl>
    <w:lvl w:ilvl="6" w:tplc="FE7EC3BC" w:tentative="1">
      <w:start w:val="1"/>
      <w:numFmt w:val="bullet"/>
      <w:lvlText w:val="•"/>
      <w:lvlJc w:val="left"/>
      <w:pPr>
        <w:tabs>
          <w:tab w:val="num" w:pos="5040"/>
        </w:tabs>
        <w:ind w:left="5040" w:hanging="360"/>
      </w:pPr>
      <w:rPr>
        <w:rFonts w:ascii="Times New Roman" w:hAnsi="Times New Roman" w:hint="default"/>
      </w:rPr>
    </w:lvl>
    <w:lvl w:ilvl="7" w:tplc="A502E9FA" w:tentative="1">
      <w:start w:val="1"/>
      <w:numFmt w:val="bullet"/>
      <w:lvlText w:val="•"/>
      <w:lvlJc w:val="left"/>
      <w:pPr>
        <w:tabs>
          <w:tab w:val="num" w:pos="5760"/>
        </w:tabs>
        <w:ind w:left="5760" w:hanging="360"/>
      </w:pPr>
      <w:rPr>
        <w:rFonts w:ascii="Times New Roman" w:hAnsi="Times New Roman" w:hint="default"/>
      </w:rPr>
    </w:lvl>
    <w:lvl w:ilvl="8" w:tplc="A5F65A6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0B4087A"/>
    <w:multiLevelType w:val="hybridMultilevel"/>
    <w:tmpl w:val="B3B00A8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7652390"/>
    <w:multiLevelType w:val="multilevel"/>
    <w:tmpl w:val="EC7268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A654CFA"/>
    <w:multiLevelType w:val="hybridMultilevel"/>
    <w:tmpl w:val="D2EC62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10"/>
  </w:num>
  <w:num w:numId="5">
    <w:abstractNumId w:val="16"/>
  </w:num>
  <w:num w:numId="6">
    <w:abstractNumId w:val="9"/>
  </w:num>
  <w:num w:numId="7">
    <w:abstractNumId w:val="3"/>
  </w:num>
  <w:num w:numId="8">
    <w:abstractNumId w:val="4"/>
  </w:num>
  <w:num w:numId="9">
    <w:abstractNumId w:val="17"/>
  </w:num>
  <w:num w:numId="10">
    <w:abstractNumId w:val="8"/>
  </w:num>
  <w:num w:numId="11">
    <w:abstractNumId w:val="5"/>
  </w:num>
  <w:num w:numId="12">
    <w:abstractNumId w:val="15"/>
  </w:num>
  <w:num w:numId="13">
    <w:abstractNumId w:val="3"/>
  </w:num>
  <w:num w:numId="14">
    <w:abstractNumId w:val="2"/>
  </w:num>
  <w:num w:numId="15">
    <w:abstractNumId w:val="7"/>
  </w:num>
  <w:num w:numId="16">
    <w:abstractNumId w:val="14"/>
  </w:num>
  <w:num w:numId="17">
    <w:abstractNumId w:val="11"/>
  </w:num>
  <w:num w:numId="18">
    <w:abstractNumId w:val="1"/>
  </w:num>
  <w:num w:numId="1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240"/>
    <w:rsid w:val="00001EB0"/>
    <w:rsid w:val="000022FD"/>
    <w:rsid w:val="000029B6"/>
    <w:rsid w:val="000029CC"/>
    <w:rsid w:val="00002B74"/>
    <w:rsid w:val="00002C5A"/>
    <w:rsid w:val="00003A52"/>
    <w:rsid w:val="0000652C"/>
    <w:rsid w:val="000066DE"/>
    <w:rsid w:val="00006D90"/>
    <w:rsid w:val="00006F64"/>
    <w:rsid w:val="000104A3"/>
    <w:rsid w:val="00010D25"/>
    <w:rsid w:val="00010D35"/>
    <w:rsid w:val="000116C4"/>
    <w:rsid w:val="00012B92"/>
    <w:rsid w:val="0001381B"/>
    <w:rsid w:val="000153FD"/>
    <w:rsid w:val="00017CD1"/>
    <w:rsid w:val="00017E0C"/>
    <w:rsid w:val="00017EA9"/>
    <w:rsid w:val="00020CAF"/>
    <w:rsid w:val="000236BC"/>
    <w:rsid w:val="00024884"/>
    <w:rsid w:val="000253E2"/>
    <w:rsid w:val="0002559F"/>
    <w:rsid w:val="00027A66"/>
    <w:rsid w:val="00030D45"/>
    <w:rsid w:val="00031295"/>
    <w:rsid w:val="00031BA7"/>
    <w:rsid w:val="000334FF"/>
    <w:rsid w:val="000353BD"/>
    <w:rsid w:val="00035F84"/>
    <w:rsid w:val="0003629C"/>
    <w:rsid w:val="000372C4"/>
    <w:rsid w:val="000379AC"/>
    <w:rsid w:val="00040077"/>
    <w:rsid w:val="00040226"/>
    <w:rsid w:val="000404E5"/>
    <w:rsid w:val="00040D00"/>
    <w:rsid w:val="00044EBB"/>
    <w:rsid w:val="0004514B"/>
    <w:rsid w:val="0004580B"/>
    <w:rsid w:val="0004638D"/>
    <w:rsid w:val="00046830"/>
    <w:rsid w:val="00053436"/>
    <w:rsid w:val="00053643"/>
    <w:rsid w:val="00053D16"/>
    <w:rsid w:val="00054F03"/>
    <w:rsid w:val="00055154"/>
    <w:rsid w:val="00055A6C"/>
    <w:rsid w:val="00057AD1"/>
    <w:rsid w:val="000606BA"/>
    <w:rsid w:val="000608F5"/>
    <w:rsid w:val="00060CD8"/>
    <w:rsid w:val="00061274"/>
    <w:rsid w:val="0006386E"/>
    <w:rsid w:val="00064953"/>
    <w:rsid w:val="00064DB0"/>
    <w:rsid w:val="00066107"/>
    <w:rsid w:val="00071B7F"/>
    <w:rsid w:val="0007222D"/>
    <w:rsid w:val="00072B03"/>
    <w:rsid w:val="000745F5"/>
    <w:rsid w:val="00075112"/>
    <w:rsid w:val="00075540"/>
    <w:rsid w:val="00075A2E"/>
    <w:rsid w:val="00076AD8"/>
    <w:rsid w:val="00077B6F"/>
    <w:rsid w:val="00077DE6"/>
    <w:rsid w:val="00077F3D"/>
    <w:rsid w:val="0008081E"/>
    <w:rsid w:val="00080FDB"/>
    <w:rsid w:val="00083107"/>
    <w:rsid w:val="0008329C"/>
    <w:rsid w:val="00084E4B"/>
    <w:rsid w:val="00085D1A"/>
    <w:rsid w:val="00085EC0"/>
    <w:rsid w:val="000879C5"/>
    <w:rsid w:val="000905C1"/>
    <w:rsid w:val="00091FC9"/>
    <w:rsid w:val="00092493"/>
    <w:rsid w:val="0009334D"/>
    <w:rsid w:val="000941FD"/>
    <w:rsid w:val="000946D9"/>
    <w:rsid w:val="00094703"/>
    <w:rsid w:val="0009480F"/>
    <w:rsid w:val="00094DC7"/>
    <w:rsid w:val="00095E1D"/>
    <w:rsid w:val="00096228"/>
    <w:rsid w:val="00097E64"/>
    <w:rsid w:val="000A04FB"/>
    <w:rsid w:val="000A55FE"/>
    <w:rsid w:val="000A5709"/>
    <w:rsid w:val="000A5951"/>
    <w:rsid w:val="000A5D8A"/>
    <w:rsid w:val="000A76E9"/>
    <w:rsid w:val="000A78B0"/>
    <w:rsid w:val="000A7B2C"/>
    <w:rsid w:val="000B03A7"/>
    <w:rsid w:val="000B07CC"/>
    <w:rsid w:val="000B13BE"/>
    <w:rsid w:val="000B1EDC"/>
    <w:rsid w:val="000B37F4"/>
    <w:rsid w:val="000B3D94"/>
    <w:rsid w:val="000B400C"/>
    <w:rsid w:val="000B4F6C"/>
    <w:rsid w:val="000B53FB"/>
    <w:rsid w:val="000B7767"/>
    <w:rsid w:val="000C2BE3"/>
    <w:rsid w:val="000C3305"/>
    <w:rsid w:val="000C39E6"/>
    <w:rsid w:val="000C3FDD"/>
    <w:rsid w:val="000C7E28"/>
    <w:rsid w:val="000D131D"/>
    <w:rsid w:val="000D159C"/>
    <w:rsid w:val="000D1D40"/>
    <w:rsid w:val="000D3CAF"/>
    <w:rsid w:val="000D76FD"/>
    <w:rsid w:val="000E0056"/>
    <w:rsid w:val="000E0071"/>
    <w:rsid w:val="000E02CF"/>
    <w:rsid w:val="000E15BD"/>
    <w:rsid w:val="000E15EE"/>
    <w:rsid w:val="000E1D42"/>
    <w:rsid w:val="000E258A"/>
    <w:rsid w:val="000E4282"/>
    <w:rsid w:val="000E459C"/>
    <w:rsid w:val="000E6DB3"/>
    <w:rsid w:val="000E78A6"/>
    <w:rsid w:val="000E7A5C"/>
    <w:rsid w:val="000F0DE6"/>
    <w:rsid w:val="000F10FC"/>
    <w:rsid w:val="000F1D77"/>
    <w:rsid w:val="000F20B0"/>
    <w:rsid w:val="000F229C"/>
    <w:rsid w:val="000F25FD"/>
    <w:rsid w:val="000F3866"/>
    <w:rsid w:val="000F4EE1"/>
    <w:rsid w:val="000F6075"/>
    <w:rsid w:val="00101157"/>
    <w:rsid w:val="00102C19"/>
    <w:rsid w:val="00103798"/>
    <w:rsid w:val="00105B0D"/>
    <w:rsid w:val="0010686E"/>
    <w:rsid w:val="00106BE2"/>
    <w:rsid w:val="00106D66"/>
    <w:rsid w:val="001070EE"/>
    <w:rsid w:val="00110793"/>
    <w:rsid w:val="00113F5F"/>
    <w:rsid w:val="00113F7D"/>
    <w:rsid w:val="00114AC2"/>
    <w:rsid w:val="00115DD7"/>
    <w:rsid w:val="001165A3"/>
    <w:rsid w:val="0011789E"/>
    <w:rsid w:val="00117EC9"/>
    <w:rsid w:val="00120B7C"/>
    <w:rsid w:val="0012177B"/>
    <w:rsid w:val="001218E3"/>
    <w:rsid w:val="00121D45"/>
    <w:rsid w:val="001227C6"/>
    <w:rsid w:val="001230A7"/>
    <w:rsid w:val="001244AF"/>
    <w:rsid w:val="001248BE"/>
    <w:rsid w:val="00125A18"/>
    <w:rsid w:val="00125C74"/>
    <w:rsid w:val="00127B1B"/>
    <w:rsid w:val="00131894"/>
    <w:rsid w:val="00131FB0"/>
    <w:rsid w:val="00132CA4"/>
    <w:rsid w:val="00133586"/>
    <w:rsid w:val="0013582B"/>
    <w:rsid w:val="001358A0"/>
    <w:rsid w:val="0013748F"/>
    <w:rsid w:val="001376B0"/>
    <w:rsid w:val="0013789B"/>
    <w:rsid w:val="00140BF3"/>
    <w:rsid w:val="001422DE"/>
    <w:rsid w:val="00142D09"/>
    <w:rsid w:val="001455CE"/>
    <w:rsid w:val="00145C67"/>
    <w:rsid w:val="00145C98"/>
    <w:rsid w:val="00146052"/>
    <w:rsid w:val="001468C9"/>
    <w:rsid w:val="00147775"/>
    <w:rsid w:val="00151F48"/>
    <w:rsid w:val="0015253D"/>
    <w:rsid w:val="0015337B"/>
    <w:rsid w:val="00155C70"/>
    <w:rsid w:val="00156275"/>
    <w:rsid w:val="00160E20"/>
    <w:rsid w:val="00161F37"/>
    <w:rsid w:val="0016214B"/>
    <w:rsid w:val="001626E9"/>
    <w:rsid w:val="001647FB"/>
    <w:rsid w:val="001650D1"/>
    <w:rsid w:val="00165B3A"/>
    <w:rsid w:val="00171A45"/>
    <w:rsid w:val="0017204D"/>
    <w:rsid w:val="0017263A"/>
    <w:rsid w:val="00174E34"/>
    <w:rsid w:val="001764F0"/>
    <w:rsid w:val="00176515"/>
    <w:rsid w:val="001804BF"/>
    <w:rsid w:val="0018187D"/>
    <w:rsid w:val="00182DF1"/>
    <w:rsid w:val="001833CF"/>
    <w:rsid w:val="00183AC4"/>
    <w:rsid w:val="00183F17"/>
    <w:rsid w:val="00184A24"/>
    <w:rsid w:val="001869F2"/>
    <w:rsid w:val="00187470"/>
    <w:rsid w:val="00187EAE"/>
    <w:rsid w:val="00192A18"/>
    <w:rsid w:val="0019375C"/>
    <w:rsid w:val="001942D6"/>
    <w:rsid w:val="00194E08"/>
    <w:rsid w:val="00195D53"/>
    <w:rsid w:val="00197182"/>
    <w:rsid w:val="001A1391"/>
    <w:rsid w:val="001A2C61"/>
    <w:rsid w:val="001A3430"/>
    <w:rsid w:val="001A4B86"/>
    <w:rsid w:val="001A62C7"/>
    <w:rsid w:val="001A6713"/>
    <w:rsid w:val="001A6986"/>
    <w:rsid w:val="001A6AF6"/>
    <w:rsid w:val="001A7D75"/>
    <w:rsid w:val="001B0A44"/>
    <w:rsid w:val="001B1062"/>
    <w:rsid w:val="001B1D6F"/>
    <w:rsid w:val="001B30AE"/>
    <w:rsid w:val="001B30CE"/>
    <w:rsid w:val="001B45EB"/>
    <w:rsid w:val="001B478B"/>
    <w:rsid w:val="001B7628"/>
    <w:rsid w:val="001C18CF"/>
    <w:rsid w:val="001C1D3B"/>
    <w:rsid w:val="001C2B50"/>
    <w:rsid w:val="001C6FC8"/>
    <w:rsid w:val="001C7DCA"/>
    <w:rsid w:val="001D0428"/>
    <w:rsid w:val="001D0723"/>
    <w:rsid w:val="001D50EF"/>
    <w:rsid w:val="001D57F9"/>
    <w:rsid w:val="001D62C0"/>
    <w:rsid w:val="001D6753"/>
    <w:rsid w:val="001D7CB1"/>
    <w:rsid w:val="001D7DE8"/>
    <w:rsid w:val="001E0054"/>
    <w:rsid w:val="001E098C"/>
    <w:rsid w:val="001E2F60"/>
    <w:rsid w:val="001E461F"/>
    <w:rsid w:val="001E47B8"/>
    <w:rsid w:val="001E4B19"/>
    <w:rsid w:val="001E5863"/>
    <w:rsid w:val="001E74EA"/>
    <w:rsid w:val="001E7DF5"/>
    <w:rsid w:val="001F07A5"/>
    <w:rsid w:val="001F0EBB"/>
    <w:rsid w:val="001F1B95"/>
    <w:rsid w:val="001F3078"/>
    <w:rsid w:val="001F3300"/>
    <w:rsid w:val="001F5477"/>
    <w:rsid w:val="001F5CB3"/>
    <w:rsid w:val="001F5D95"/>
    <w:rsid w:val="001F6216"/>
    <w:rsid w:val="00201507"/>
    <w:rsid w:val="00201930"/>
    <w:rsid w:val="00202090"/>
    <w:rsid w:val="00202AC3"/>
    <w:rsid w:val="00203E83"/>
    <w:rsid w:val="0020443E"/>
    <w:rsid w:val="00207622"/>
    <w:rsid w:val="00210AE6"/>
    <w:rsid w:val="00210C83"/>
    <w:rsid w:val="002121A7"/>
    <w:rsid w:val="00212AB4"/>
    <w:rsid w:val="00212EBF"/>
    <w:rsid w:val="00213E69"/>
    <w:rsid w:val="002141EA"/>
    <w:rsid w:val="00215512"/>
    <w:rsid w:val="00216D72"/>
    <w:rsid w:val="00217537"/>
    <w:rsid w:val="002204BB"/>
    <w:rsid w:val="00220FCB"/>
    <w:rsid w:val="00221867"/>
    <w:rsid w:val="00222A1E"/>
    <w:rsid w:val="00222AF3"/>
    <w:rsid w:val="00225388"/>
    <w:rsid w:val="0022605F"/>
    <w:rsid w:val="0022673D"/>
    <w:rsid w:val="002268CD"/>
    <w:rsid w:val="00226FE6"/>
    <w:rsid w:val="00230F40"/>
    <w:rsid w:val="00232C5D"/>
    <w:rsid w:val="002357CB"/>
    <w:rsid w:val="00235C01"/>
    <w:rsid w:val="002369F0"/>
    <w:rsid w:val="0024051D"/>
    <w:rsid w:val="00240C22"/>
    <w:rsid w:val="00241129"/>
    <w:rsid w:val="00241A0B"/>
    <w:rsid w:val="00241C70"/>
    <w:rsid w:val="00242891"/>
    <w:rsid w:val="00242BF0"/>
    <w:rsid w:val="00243131"/>
    <w:rsid w:val="00244F8D"/>
    <w:rsid w:val="00246041"/>
    <w:rsid w:val="0024660E"/>
    <w:rsid w:val="00247CC3"/>
    <w:rsid w:val="002509B3"/>
    <w:rsid w:val="0025100D"/>
    <w:rsid w:val="00251ED5"/>
    <w:rsid w:val="00252828"/>
    <w:rsid w:val="002537B4"/>
    <w:rsid w:val="00253D9E"/>
    <w:rsid w:val="00253F30"/>
    <w:rsid w:val="002546F9"/>
    <w:rsid w:val="00257ADD"/>
    <w:rsid w:val="00257D00"/>
    <w:rsid w:val="00257F06"/>
    <w:rsid w:val="0026051A"/>
    <w:rsid w:val="00261868"/>
    <w:rsid w:val="002648A9"/>
    <w:rsid w:val="00265298"/>
    <w:rsid w:val="00265DD5"/>
    <w:rsid w:val="00267CCC"/>
    <w:rsid w:val="002708EC"/>
    <w:rsid w:val="002718F6"/>
    <w:rsid w:val="0027198B"/>
    <w:rsid w:val="00276588"/>
    <w:rsid w:val="002767CA"/>
    <w:rsid w:val="00277781"/>
    <w:rsid w:val="00280DA1"/>
    <w:rsid w:val="0028148B"/>
    <w:rsid w:val="00281699"/>
    <w:rsid w:val="002823AE"/>
    <w:rsid w:val="00282EA0"/>
    <w:rsid w:val="00283959"/>
    <w:rsid w:val="00284030"/>
    <w:rsid w:val="002846E6"/>
    <w:rsid w:val="002855D3"/>
    <w:rsid w:val="00286078"/>
    <w:rsid w:val="002870C5"/>
    <w:rsid w:val="00292947"/>
    <w:rsid w:val="00292A6F"/>
    <w:rsid w:val="00293EFC"/>
    <w:rsid w:val="00295D30"/>
    <w:rsid w:val="002A045C"/>
    <w:rsid w:val="002A1347"/>
    <w:rsid w:val="002A213D"/>
    <w:rsid w:val="002A2B82"/>
    <w:rsid w:val="002A33AD"/>
    <w:rsid w:val="002A3F86"/>
    <w:rsid w:val="002A59C5"/>
    <w:rsid w:val="002A64F9"/>
    <w:rsid w:val="002A6657"/>
    <w:rsid w:val="002B1861"/>
    <w:rsid w:val="002B24C9"/>
    <w:rsid w:val="002B2DA9"/>
    <w:rsid w:val="002B338F"/>
    <w:rsid w:val="002B5C18"/>
    <w:rsid w:val="002B6DDB"/>
    <w:rsid w:val="002C071E"/>
    <w:rsid w:val="002C08A2"/>
    <w:rsid w:val="002C0F72"/>
    <w:rsid w:val="002C0FEC"/>
    <w:rsid w:val="002C1B5C"/>
    <w:rsid w:val="002C1E0D"/>
    <w:rsid w:val="002C3A5B"/>
    <w:rsid w:val="002C6CF0"/>
    <w:rsid w:val="002C6EBF"/>
    <w:rsid w:val="002D1114"/>
    <w:rsid w:val="002D2F40"/>
    <w:rsid w:val="002D4186"/>
    <w:rsid w:val="002D54BF"/>
    <w:rsid w:val="002D5B6C"/>
    <w:rsid w:val="002E1E0D"/>
    <w:rsid w:val="002E2533"/>
    <w:rsid w:val="002E287C"/>
    <w:rsid w:val="002E3229"/>
    <w:rsid w:val="002E3951"/>
    <w:rsid w:val="002E52F7"/>
    <w:rsid w:val="002E5B2D"/>
    <w:rsid w:val="002E6651"/>
    <w:rsid w:val="002E7114"/>
    <w:rsid w:val="002F07D3"/>
    <w:rsid w:val="002F0A84"/>
    <w:rsid w:val="002F0E8F"/>
    <w:rsid w:val="002F1040"/>
    <w:rsid w:val="002F1C31"/>
    <w:rsid w:val="00300C8C"/>
    <w:rsid w:val="00300E9E"/>
    <w:rsid w:val="00302146"/>
    <w:rsid w:val="0030586B"/>
    <w:rsid w:val="003065BD"/>
    <w:rsid w:val="0030731B"/>
    <w:rsid w:val="003129C6"/>
    <w:rsid w:val="00312BA2"/>
    <w:rsid w:val="003134C7"/>
    <w:rsid w:val="00313D85"/>
    <w:rsid w:val="00314477"/>
    <w:rsid w:val="00316688"/>
    <w:rsid w:val="003166F8"/>
    <w:rsid w:val="00317417"/>
    <w:rsid w:val="0032062E"/>
    <w:rsid w:val="00322394"/>
    <w:rsid w:val="00322EEB"/>
    <w:rsid w:val="0032340F"/>
    <w:rsid w:val="00323C4A"/>
    <w:rsid w:val="003266E4"/>
    <w:rsid w:val="00327EB8"/>
    <w:rsid w:val="003320B8"/>
    <w:rsid w:val="00332459"/>
    <w:rsid w:val="00332B57"/>
    <w:rsid w:val="003330CD"/>
    <w:rsid w:val="00335CAF"/>
    <w:rsid w:val="0033611F"/>
    <w:rsid w:val="00340667"/>
    <w:rsid w:val="00341C8A"/>
    <w:rsid w:val="00342545"/>
    <w:rsid w:val="0034377E"/>
    <w:rsid w:val="003442FF"/>
    <w:rsid w:val="00344947"/>
    <w:rsid w:val="0034528F"/>
    <w:rsid w:val="003455BE"/>
    <w:rsid w:val="0034596A"/>
    <w:rsid w:val="003474B3"/>
    <w:rsid w:val="0034752C"/>
    <w:rsid w:val="00351944"/>
    <w:rsid w:val="00352A95"/>
    <w:rsid w:val="003532B0"/>
    <w:rsid w:val="00356388"/>
    <w:rsid w:val="0035646D"/>
    <w:rsid w:val="00356D7D"/>
    <w:rsid w:val="0036033D"/>
    <w:rsid w:val="00360579"/>
    <w:rsid w:val="00363527"/>
    <w:rsid w:val="00364A06"/>
    <w:rsid w:val="00364A4C"/>
    <w:rsid w:val="00366E9A"/>
    <w:rsid w:val="00367AB3"/>
    <w:rsid w:val="00370501"/>
    <w:rsid w:val="00370D96"/>
    <w:rsid w:val="00372FC3"/>
    <w:rsid w:val="0037575E"/>
    <w:rsid w:val="003766D9"/>
    <w:rsid w:val="00376A27"/>
    <w:rsid w:val="003778F8"/>
    <w:rsid w:val="00377C15"/>
    <w:rsid w:val="003811CC"/>
    <w:rsid w:val="0038235F"/>
    <w:rsid w:val="00382AFB"/>
    <w:rsid w:val="00383DA2"/>
    <w:rsid w:val="00384999"/>
    <w:rsid w:val="00385324"/>
    <w:rsid w:val="00385875"/>
    <w:rsid w:val="00387F7A"/>
    <w:rsid w:val="00387F98"/>
    <w:rsid w:val="00390C81"/>
    <w:rsid w:val="00391F67"/>
    <w:rsid w:val="003923DD"/>
    <w:rsid w:val="00392AEC"/>
    <w:rsid w:val="00394B6D"/>
    <w:rsid w:val="00394E6F"/>
    <w:rsid w:val="003952E3"/>
    <w:rsid w:val="0039588D"/>
    <w:rsid w:val="003960A5"/>
    <w:rsid w:val="003961B2"/>
    <w:rsid w:val="003962E4"/>
    <w:rsid w:val="0039644A"/>
    <w:rsid w:val="00397AEA"/>
    <w:rsid w:val="003A0BBC"/>
    <w:rsid w:val="003A1256"/>
    <w:rsid w:val="003A1AC6"/>
    <w:rsid w:val="003A28F4"/>
    <w:rsid w:val="003A3336"/>
    <w:rsid w:val="003A6738"/>
    <w:rsid w:val="003A78FC"/>
    <w:rsid w:val="003B147E"/>
    <w:rsid w:val="003B2BEE"/>
    <w:rsid w:val="003B2FDD"/>
    <w:rsid w:val="003B5601"/>
    <w:rsid w:val="003B576D"/>
    <w:rsid w:val="003B6B1E"/>
    <w:rsid w:val="003B6E71"/>
    <w:rsid w:val="003C0133"/>
    <w:rsid w:val="003C4A4B"/>
    <w:rsid w:val="003C5D48"/>
    <w:rsid w:val="003C5E9C"/>
    <w:rsid w:val="003C63E8"/>
    <w:rsid w:val="003C6623"/>
    <w:rsid w:val="003C75B1"/>
    <w:rsid w:val="003D2766"/>
    <w:rsid w:val="003D2F09"/>
    <w:rsid w:val="003D66D3"/>
    <w:rsid w:val="003D6D83"/>
    <w:rsid w:val="003D7059"/>
    <w:rsid w:val="003D71B1"/>
    <w:rsid w:val="003D7DEA"/>
    <w:rsid w:val="003E03C4"/>
    <w:rsid w:val="003E0DCC"/>
    <w:rsid w:val="003E197D"/>
    <w:rsid w:val="003E1A11"/>
    <w:rsid w:val="003E2467"/>
    <w:rsid w:val="003E3797"/>
    <w:rsid w:val="003E3CC2"/>
    <w:rsid w:val="003E4172"/>
    <w:rsid w:val="003E5349"/>
    <w:rsid w:val="003F0959"/>
    <w:rsid w:val="003F0D17"/>
    <w:rsid w:val="003F1DB9"/>
    <w:rsid w:val="003F3A54"/>
    <w:rsid w:val="003F3B60"/>
    <w:rsid w:val="003F5A76"/>
    <w:rsid w:val="003F6036"/>
    <w:rsid w:val="003F60B0"/>
    <w:rsid w:val="003F690C"/>
    <w:rsid w:val="003F6FCA"/>
    <w:rsid w:val="003F79FB"/>
    <w:rsid w:val="004002B4"/>
    <w:rsid w:val="00403CE6"/>
    <w:rsid w:val="00403D11"/>
    <w:rsid w:val="00406789"/>
    <w:rsid w:val="00407D52"/>
    <w:rsid w:val="00411BD2"/>
    <w:rsid w:val="00412F3E"/>
    <w:rsid w:val="00412F6D"/>
    <w:rsid w:val="00413236"/>
    <w:rsid w:val="00413BF4"/>
    <w:rsid w:val="004140EC"/>
    <w:rsid w:val="004148E6"/>
    <w:rsid w:val="00415179"/>
    <w:rsid w:val="004156BD"/>
    <w:rsid w:val="00416EA2"/>
    <w:rsid w:val="00417245"/>
    <w:rsid w:val="004177EF"/>
    <w:rsid w:val="0042009D"/>
    <w:rsid w:val="00420D4E"/>
    <w:rsid w:val="0042111B"/>
    <w:rsid w:val="00421A08"/>
    <w:rsid w:val="004220F2"/>
    <w:rsid w:val="0042451B"/>
    <w:rsid w:val="00425428"/>
    <w:rsid w:val="004254CC"/>
    <w:rsid w:val="00425A5C"/>
    <w:rsid w:val="004260A7"/>
    <w:rsid w:val="00426608"/>
    <w:rsid w:val="00426BA3"/>
    <w:rsid w:val="00426FFC"/>
    <w:rsid w:val="00427986"/>
    <w:rsid w:val="004300F6"/>
    <w:rsid w:val="004307BA"/>
    <w:rsid w:val="00430A01"/>
    <w:rsid w:val="004327BE"/>
    <w:rsid w:val="00432D0C"/>
    <w:rsid w:val="00432E4B"/>
    <w:rsid w:val="004338C9"/>
    <w:rsid w:val="00433905"/>
    <w:rsid w:val="0043609B"/>
    <w:rsid w:val="00436E4D"/>
    <w:rsid w:val="00436FF5"/>
    <w:rsid w:val="004409BC"/>
    <w:rsid w:val="00440B06"/>
    <w:rsid w:val="00440CF6"/>
    <w:rsid w:val="004412A3"/>
    <w:rsid w:val="00441EEB"/>
    <w:rsid w:val="004422DD"/>
    <w:rsid w:val="0044250C"/>
    <w:rsid w:val="00442F35"/>
    <w:rsid w:val="0044351A"/>
    <w:rsid w:val="0044375B"/>
    <w:rsid w:val="004451A7"/>
    <w:rsid w:val="0044559F"/>
    <w:rsid w:val="004466AE"/>
    <w:rsid w:val="00446808"/>
    <w:rsid w:val="00446CFF"/>
    <w:rsid w:val="004470D0"/>
    <w:rsid w:val="00450A73"/>
    <w:rsid w:val="00451E8C"/>
    <w:rsid w:val="004531B7"/>
    <w:rsid w:val="00453CDA"/>
    <w:rsid w:val="004567A3"/>
    <w:rsid w:val="00456C1B"/>
    <w:rsid w:val="00457D77"/>
    <w:rsid w:val="004602F7"/>
    <w:rsid w:val="00460CD0"/>
    <w:rsid w:val="00460DAD"/>
    <w:rsid w:val="004611FC"/>
    <w:rsid w:val="00461DC8"/>
    <w:rsid w:val="004620C3"/>
    <w:rsid w:val="00462DDF"/>
    <w:rsid w:val="00462E4D"/>
    <w:rsid w:val="0046555B"/>
    <w:rsid w:val="00465B01"/>
    <w:rsid w:val="00465C6C"/>
    <w:rsid w:val="00465F72"/>
    <w:rsid w:val="0046629F"/>
    <w:rsid w:val="004664FE"/>
    <w:rsid w:val="00466936"/>
    <w:rsid w:val="00466AF1"/>
    <w:rsid w:val="00472371"/>
    <w:rsid w:val="00474F1E"/>
    <w:rsid w:val="00477788"/>
    <w:rsid w:val="004800A2"/>
    <w:rsid w:val="00480685"/>
    <w:rsid w:val="00481D6D"/>
    <w:rsid w:val="004842AE"/>
    <w:rsid w:val="004846B2"/>
    <w:rsid w:val="00485565"/>
    <w:rsid w:val="00485646"/>
    <w:rsid w:val="00485F8F"/>
    <w:rsid w:val="00486191"/>
    <w:rsid w:val="0048798D"/>
    <w:rsid w:val="00490A44"/>
    <w:rsid w:val="004947FD"/>
    <w:rsid w:val="00494871"/>
    <w:rsid w:val="00494B8B"/>
    <w:rsid w:val="00494CE0"/>
    <w:rsid w:val="0049521A"/>
    <w:rsid w:val="00496631"/>
    <w:rsid w:val="00496B51"/>
    <w:rsid w:val="004975E7"/>
    <w:rsid w:val="004A106B"/>
    <w:rsid w:val="004A156E"/>
    <w:rsid w:val="004A2129"/>
    <w:rsid w:val="004A2C3C"/>
    <w:rsid w:val="004A3528"/>
    <w:rsid w:val="004A4C01"/>
    <w:rsid w:val="004A5762"/>
    <w:rsid w:val="004A6211"/>
    <w:rsid w:val="004B0BFD"/>
    <w:rsid w:val="004B166E"/>
    <w:rsid w:val="004B378D"/>
    <w:rsid w:val="004B3A9E"/>
    <w:rsid w:val="004B65B3"/>
    <w:rsid w:val="004B6C59"/>
    <w:rsid w:val="004B732A"/>
    <w:rsid w:val="004B79AF"/>
    <w:rsid w:val="004C0D61"/>
    <w:rsid w:val="004C179F"/>
    <w:rsid w:val="004C1B1B"/>
    <w:rsid w:val="004C1C5A"/>
    <w:rsid w:val="004C4B10"/>
    <w:rsid w:val="004C508F"/>
    <w:rsid w:val="004C5825"/>
    <w:rsid w:val="004C5D2D"/>
    <w:rsid w:val="004C7C28"/>
    <w:rsid w:val="004D06B1"/>
    <w:rsid w:val="004D1A7D"/>
    <w:rsid w:val="004D205B"/>
    <w:rsid w:val="004D3095"/>
    <w:rsid w:val="004D3E98"/>
    <w:rsid w:val="004D5935"/>
    <w:rsid w:val="004D59BF"/>
    <w:rsid w:val="004D60DF"/>
    <w:rsid w:val="004D6325"/>
    <w:rsid w:val="004D68B9"/>
    <w:rsid w:val="004D7325"/>
    <w:rsid w:val="004E0F68"/>
    <w:rsid w:val="004E1904"/>
    <w:rsid w:val="004E2B37"/>
    <w:rsid w:val="004E4015"/>
    <w:rsid w:val="004E41A3"/>
    <w:rsid w:val="004E4BEF"/>
    <w:rsid w:val="004E4DE3"/>
    <w:rsid w:val="004E4F0F"/>
    <w:rsid w:val="004E565B"/>
    <w:rsid w:val="004E57F5"/>
    <w:rsid w:val="004E63CF"/>
    <w:rsid w:val="004E6A02"/>
    <w:rsid w:val="004F083D"/>
    <w:rsid w:val="004F2438"/>
    <w:rsid w:val="004F49FF"/>
    <w:rsid w:val="004F70AF"/>
    <w:rsid w:val="004F7C3A"/>
    <w:rsid w:val="005007D0"/>
    <w:rsid w:val="00500936"/>
    <w:rsid w:val="0050143E"/>
    <w:rsid w:val="00502485"/>
    <w:rsid w:val="0050372D"/>
    <w:rsid w:val="005049C2"/>
    <w:rsid w:val="00507572"/>
    <w:rsid w:val="005105D6"/>
    <w:rsid w:val="005116CD"/>
    <w:rsid w:val="0051226D"/>
    <w:rsid w:val="005133EB"/>
    <w:rsid w:val="0051419D"/>
    <w:rsid w:val="005149FD"/>
    <w:rsid w:val="00514EAA"/>
    <w:rsid w:val="0051579B"/>
    <w:rsid w:val="005176CB"/>
    <w:rsid w:val="00520005"/>
    <w:rsid w:val="00520FC1"/>
    <w:rsid w:val="00521426"/>
    <w:rsid w:val="005215BB"/>
    <w:rsid w:val="0052299B"/>
    <w:rsid w:val="00522CE2"/>
    <w:rsid w:val="00526A3D"/>
    <w:rsid w:val="00530B55"/>
    <w:rsid w:val="005320C5"/>
    <w:rsid w:val="005362D1"/>
    <w:rsid w:val="0053646B"/>
    <w:rsid w:val="00537653"/>
    <w:rsid w:val="00537800"/>
    <w:rsid w:val="00537FCE"/>
    <w:rsid w:val="00543329"/>
    <w:rsid w:val="005436A5"/>
    <w:rsid w:val="005447F6"/>
    <w:rsid w:val="00544B21"/>
    <w:rsid w:val="00546230"/>
    <w:rsid w:val="00546DF1"/>
    <w:rsid w:val="005528FD"/>
    <w:rsid w:val="005541B3"/>
    <w:rsid w:val="00555515"/>
    <w:rsid w:val="00556139"/>
    <w:rsid w:val="00560639"/>
    <w:rsid w:val="005617FD"/>
    <w:rsid w:val="00563300"/>
    <w:rsid w:val="00563DDF"/>
    <w:rsid w:val="00566303"/>
    <w:rsid w:val="005665AE"/>
    <w:rsid w:val="00567086"/>
    <w:rsid w:val="005702BA"/>
    <w:rsid w:val="00571BB3"/>
    <w:rsid w:val="00572171"/>
    <w:rsid w:val="0057290A"/>
    <w:rsid w:val="00572C7A"/>
    <w:rsid w:val="00573073"/>
    <w:rsid w:val="0057554F"/>
    <w:rsid w:val="0057604D"/>
    <w:rsid w:val="00576E9C"/>
    <w:rsid w:val="005773F9"/>
    <w:rsid w:val="00577CB9"/>
    <w:rsid w:val="00580437"/>
    <w:rsid w:val="00580A04"/>
    <w:rsid w:val="00581BC7"/>
    <w:rsid w:val="00581DDF"/>
    <w:rsid w:val="00584E92"/>
    <w:rsid w:val="0058592F"/>
    <w:rsid w:val="0059006A"/>
    <w:rsid w:val="005932B8"/>
    <w:rsid w:val="00593770"/>
    <w:rsid w:val="005952D8"/>
    <w:rsid w:val="00596BA4"/>
    <w:rsid w:val="0059747B"/>
    <w:rsid w:val="005A1792"/>
    <w:rsid w:val="005A1AF1"/>
    <w:rsid w:val="005A1E18"/>
    <w:rsid w:val="005A203D"/>
    <w:rsid w:val="005A23D8"/>
    <w:rsid w:val="005A3A62"/>
    <w:rsid w:val="005A478C"/>
    <w:rsid w:val="005A48B4"/>
    <w:rsid w:val="005A4E0C"/>
    <w:rsid w:val="005A51C7"/>
    <w:rsid w:val="005A5389"/>
    <w:rsid w:val="005A557A"/>
    <w:rsid w:val="005A5D25"/>
    <w:rsid w:val="005B02A2"/>
    <w:rsid w:val="005B03B6"/>
    <w:rsid w:val="005B13BE"/>
    <w:rsid w:val="005B1F64"/>
    <w:rsid w:val="005B47C0"/>
    <w:rsid w:val="005B4FE6"/>
    <w:rsid w:val="005B50D6"/>
    <w:rsid w:val="005B6083"/>
    <w:rsid w:val="005C1005"/>
    <w:rsid w:val="005C49D2"/>
    <w:rsid w:val="005C69B5"/>
    <w:rsid w:val="005C79B9"/>
    <w:rsid w:val="005D1964"/>
    <w:rsid w:val="005D22F4"/>
    <w:rsid w:val="005D2DA8"/>
    <w:rsid w:val="005D2F0B"/>
    <w:rsid w:val="005D379B"/>
    <w:rsid w:val="005D595B"/>
    <w:rsid w:val="005D5D6C"/>
    <w:rsid w:val="005D5DBD"/>
    <w:rsid w:val="005D73FC"/>
    <w:rsid w:val="005E269B"/>
    <w:rsid w:val="005E2D3E"/>
    <w:rsid w:val="005E73EF"/>
    <w:rsid w:val="005F1025"/>
    <w:rsid w:val="005F2519"/>
    <w:rsid w:val="005F2B22"/>
    <w:rsid w:val="005F5B1E"/>
    <w:rsid w:val="00602004"/>
    <w:rsid w:val="006028FC"/>
    <w:rsid w:val="00603A38"/>
    <w:rsid w:val="00603BF8"/>
    <w:rsid w:val="00604694"/>
    <w:rsid w:val="00604A2E"/>
    <w:rsid w:val="00604B10"/>
    <w:rsid w:val="00611B1E"/>
    <w:rsid w:val="006164B9"/>
    <w:rsid w:val="006176E5"/>
    <w:rsid w:val="00620F3A"/>
    <w:rsid w:val="0062149C"/>
    <w:rsid w:val="006227EA"/>
    <w:rsid w:val="00622B7A"/>
    <w:rsid w:val="00623D8B"/>
    <w:rsid w:val="00624943"/>
    <w:rsid w:val="00624E08"/>
    <w:rsid w:val="00625920"/>
    <w:rsid w:val="006260DB"/>
    <w:rsid w:val="006319B0"/>
    <w:rsid w:val="00633CB1"/>
    <w:rsid w:val="00634E26"/>
    <w:rsid w:val="0063611D"/>
    <w:rsid w:val="0063647B"/>
    <w:rsid w:val="0063648C"/>
    <w:rsid w:val="006367B5"/>
    <w:rsid w:val="00637071"/>
    <w:rsid w:val="0063725F"/>
    <w:rsid w:val="00641506"/>
    <w:rsid w:val="00644515"/>
    <w:rsid w:val="00647053"/>
    <w:rsid w:val="0064706D"/>
    <w:rsid w:val="00647503"/>
    <w:rsid w:val="00650DED"/>
    <w:rsid w:val="00651146"/>
    <w:rsid w:val="00651B9B"/>
    <w:rsid w:val="00652679"/>
    <w:rsid w:val="00652B64"/>
    <w:rsid w:val="00653104"/>
    <w:rsid w:val="00655496"/>
    <w:rsid w:val="006554B8"/>
    <w:rsid w:val="00655F60"/>
    <w:rsid w:val="0065623F"/>
    <w:rsid w:val="006575F4"/>
    <w:rsid w:val="00660871"/>
    <w:rsid w:val="0066131F"/>
    <w:rsid w:val="00661C53"/>
    <w:rsid w:val="0066513F"/>
    <w:rsid w:val="0066720D"/>
    <w:rsid w:val="00667497"/>
    <w:rsid w:val="0067022B"/>
    <w:rsid w:val="006711A2"/>
    <w:rsid w:val="00671917"/>
    <w:rsid w:val="00671D45"/>
    <w:rsid w:val="006721C2"/>
    <w:rsid w:val="00674B3A"/>
    <w:rsid w:val="00675FAB"/>
    <w:rsid w:val="00676780"/>
    <w:rsid w:val="00676B9D"/>
    <w:rsid w:val="00677757"/>
    <w:rsid w:val="006804C7"/>
    <w:rsid w:val="00680982"/>
    <w:rsid w:val="00680C9F"/>
    <w:rsid w:val="00681D53"/>
    <w:rsid w:val="00682A1D"/>
    <w:rsid w:val="0068342E"/>
    <w:rsid w:val="00684C51"/>
    <w:rsid w:val="00684CE9"/>
    <w:rsid w:val="00687264"/>
    <w:rsid w:val="00690AE2"/>
    <w:rsid w:val="00690BC1"/>
    <w:rsid w:val="00691F7A"/>
    <w:rsid w:val="00692B20"/>
    <w:rsid w:val="00692BA0"/>
    <w:rsid w:val="00692E9C"/>
    <w:rsid w:val="006953D4"/>
    <w:rsid w:val="00696516"/>
    <w:rsid w:val="00697064"/>
    <w:rsid w:val="00697F15"/>
    <w:rsid w:val="006A10EE"/>
    <w:rsid w:val="006A1366"/>
    <w:rsid w:val="006A1D75"/>
    <w:rsid w:val="006A28F8"/>
    <w:rsid w:val="006A3AFF"/>
    <w:rsid w:val="006A3FFD"/>
    <w:rsid w:val="006A658B"/>
    <w:rsid w:val="006A7669"/>
    <w:rsid w:val="006B0C25"/>
    <w:rsid w:val="006B136E"/>
    <w:rsid w:val="006B1F48"/>
    <w:rsid w:val="006B245F"/>
    <w:rsid w:val="006B34DB"/>
    <w:rsid w:val="006B3875"/>
    <w:rsid w:val="006B5B05"/>
    <w:rsid w:val="006B6B79"/>
    <w:rsid w:val="006B7A79"/>
    <w:rsid w:val="006C15DD"/>
    <w:rsid w:val="006C1843"/>
    <w:rsid w:val="006C2970"/>
    <w:rsid w:val="006C3C00"/>
    <w:rsid w:val="006C5E7E"/>
    <w:rsid w:val="006C5F38"/>
    <w:rsid w:val="006C63DB"/>
    <w:rsid w:val="006C67A7"/>
    <w:rsid w:val="006C6AD6"/>
    <w:rsid w:val="006C6D87"/>
    <w:rsid w:val="006C7B38"/>
    <w:rsid w:val="006D0589"/>
    <w:rsid w:val="006D05F2"/>
    <w:rsid w:val="006D12B3"/>
    <w:rsid w:val="006D1BD4"/>
    <w:rsid w:val="006D3300"/>
    <w:rsid w:val="006D3311"/>
    <w:rsid w:val="006D340A"/>
    <w:rsid w:val="006D356B"/>
    <w:rsid w:val="006D422D"/>
    <w:rsid w:val="006D4908"/>
    <w:rsid w:val="006D495A"/>
    <w:rsid w:val="006D5189"/>
    <w:rsid w:val="006D6403"/>
    <w:rsid w:val="006D6E16"/>
    <w:rsid w:val="006E0532"/>
    <w:rsid w:val="006E14CB"/>
    <w:rsid w:val="006E19CA"/>
    <w:rsid w:val="006E1ACB"/>
    <w:rsid w:val="006E396A"/>
    <w:rsid w:val="006E3A13"/>
    <w:rsid w:val="006E79CD"/>
    <w:rsid w:val="006F1409"/>
    <w:rsid w:val="006F1F6D"/>
    <w:rsid w:val="006F29D1"/>
    <w:rsid w:val="006F2D45"/>
    <w:rsid w:val="006F330B"/>
    <w:rsid w:val="006F3D89"/>
    <w:rsid w:val="006F4000"/>
    <w:rsid w:val="006F44D4"/>
    <w:rsid w:val="006F4B88"/>
    <w:rsid w:val="006F675B"/>
    <w:rsid w:val="006F738E"/>
    <w:rsid w:val="00700F8B"/>
    <w:rsid w:val="0070123F"/>
    <w:rsid w:val="007018F7"/>
    <w:rsid w:val="007024F7"/>
    <w:rsid w:val="00702634"/>
    <w:rsid w:val="00703958"/>
    <w:rsid w:val="00704459"/>
    <w:rsid w:val="00704C14"/>
    <w:rsid w:val="0070538C"/>
    <w:rsid w:val="00706128"/>
    <w:rsid w:val="007072ED"/>
    <w:rsid w:val="00710019"/>
    <w:rsid w:val="007105BF"/>
    <w:rsid w:val="00711740"/>
    <w:rsid w:val="00713939"/>
    <w:rsid w:val="00713ABA"/>
    <w:rsid w:val="00714915"/>
    <w:rsid w:val="00714E4B"/>
    <w:rsid w:val="00715418"/>
    <w:rsid w:val="007179E9"/>
    <w:rsid w:val="0072026C"/>
    <w:rsid w:val="0072096C"/>
    <w:rsid w:val="0072594E"/>
    <w:rsid w:val="00726D25"/>
    <w:rsid w:val="00727CA1"/>
    <w:rsid w:val="00730BEE"/>
    <w:rsid w:val="0073194B"/>
    <w:rsid w:val="0073263E"/>
    <w:rsid w:val="00732FE6"/>
    <w:rsid w:val="00733C40"/>
    <w:rsid w:val="0073443F"/>
    <w:rsid w:val="0073542E"/>
    <w:rsid w:val="0073608A"/>
    <w:rsid w:val="00737569"/>
    <w:rsid w:val="00737D69"/>
    <w:rsid w:val="00740480"/>
    <w:rsid w:val="00740D37"/>
    <w:rsid w:val="00742081"/>
    <w:rsid w:val="007425E7"/>
    <w:rsid w:val="007429C9"/>
    <w:rsid w:val="00743394"/>
    <w:rsid w:val="00745699"/>
    <w:rsid w:val="00747D1C"/>
    <w:rsid w:val="00752EC0"/>
    <w:rsid w:val="0075338F"/>
    <w:rsid w:val="00754C15"/>
    <w:rsid w:val="00754DDF"/>
    <w:rsid w:val="007560C7"/>
    <w:rsid w:val="00760141"/>
    <w:rsid w:val="007614E3"/>
    <w:rsid w:val="00761EB7"/>
    <w:rsid w:val="007630CE"/>
    <w:rsid w:val="00763D7B"/>
    <w:rsid w:val="007664ED"/>
    <w:rsid w:val="00770BC4"/>
    <w:rsid w:val="00771E55"/>
    <w:rsid w:val="00771FD6"/>
    <w:rsid w:val="007721E7"/>
    <w:rsid w:val="007725AB"/>
    <w:rsid w:val="007725EC"/>
    <w:rsid w:val="0077260F"/>
    <w:rsid w:val="00772AB5"/>
    <w:rsid w:val="00772DB9"/>
    <w:rsid w:val="00773376"/>
    <w:rsid w:val="00774D14"/>
    <w:rsid w:val="0077659D"/>
    <w:rsid w:val="00776946"/>
    <w:rsid w:val="007778C9"/>
    <w:rsid w:val="00780161"/>
    <w:rsid w:val="0078077B"/>
    <w:rsid w:val="007810B9"/>
    <w:rsid w:val="00781212"/>
    <w:rsid w:val="00781378"/>
    <w:rsid w:val="00781C5F"/>
    <w:rsid w:val="007829E2"/>
    <w:rsid w:val="00782A26"/>
    <w:rsid w:val="0078495C"/>
    <w:rsid w:val="00784F03"/>
    <w:rsid w:val="00785DFD"/>
    <w:rsid w:val="00785EF7"/>
    <w:rsid w:val="00787DAB"/>
    <w:rsid w:val="007902BE"/>
    <w:rsid w:val="007916A2"/>
    <w:rsid w:val="007919DE"/>
    <w:rsid w:val="0079291C"/>
    <w:rsid w:val="00793602"/>
    <w:rsid w:val="00796390"/>
    <w:rsid w:val="007963BF"/>
    <w:rsid w:val="00797307"/>
    <w:rsid w:val="00797DAC"/>
    <w:rsid w:val="007A0061"/>
    <w:rsid w:val="007A00B8"/>
    <w:rsid w:val="007A015A"/>
    <w:rsid w:val="007A2588"/>
    <w:rsid w:val="007A311C"/>
    <w:rsid w:val="007A4387"/>
    <w:rsid w:val="007A5B49"/>
    <w:rsid w:val="007A760F"/>
    <w:rsid w:val="007B0C40"/>
    <w:rsid w:val="007B1346"/>
    <w:rsid w:val="007B16AB"/>
    <w:rsid w:val="007B2F81"/>
    <w:rsid w:val="007B3F95"/>
    <w:rsid w:val="007B4645"/>
    <w:rsid w:val="007B4FED"/>
    <w:rsid w:val="007B5F55"/>
    <w:rsid w:val="007B70D8"/>
    <w:rsid w:val="007B7B8F"/>
    <w:rsid w:val="007C0911"/>
    <w:rsid w:val="007C1827"/>
    <w:rsid w:val="007C1DCE"/>
    <w:rsid w:val="007C24D0"/>
    <w:rsid w:val="007C2808"/>
    <w:rsid w:val="007C4496"/>
    <w:rsid w:val="007C4647"/>
    <w:rsid w:val="007C46AE"/>
    <w:rsid w:val="007C4DBA"/>
    <w:rsid w:val="007C5E7A"/>
    <w:rsid w:val="007C61B6"/>
    <w:rsid w:val="007C6666"/>
    <w:rsid w:val="007C68B9"/>
    <w:rsid w:val="007C6CFE"/>
    <w:rsid w:val="007C7E22"/>
    <w:rsid w:val="007D00F9"/>
    <w:rsid w:val="007D01AC"/>
    <w:rsid w:val="007D03A9"/>
    <w:rsid w:val="007D23A5"/>
    <w:rsid w:val="007D272F"/>
    <w:rsid w:val="007D32DD"/>
    <w:rsid w:val="007D392B"/>
    <w:rsid w:val="007D4572"/>
    <w:rsid w:val="007D4F3A"/>
    <w:rsid w:val="007D53D9"/>
    <w:rsid w:val="007D6588"/>
    <w:rsid w:val="007D6771"/>
    <w:rsid w:val="007D6908"/>
    <w:rsid w:val="007D6AD9"/>
    <w:rsid w:val="007D7186"/>
    <w:rsid w:val="007E03B8"/>
    <w:rsid w:val="007E0513"/>
    <w:rsid w:val="007E0F59"/>
    <w:rsid w:val="007E1410"/>
    <w:rsid w:val="007E220D"/>
    <w:rsid w:val="007E2C32"/>
    <w:rsid w:val="007E2DA2"/>
    <w:rsid w:val="007E3B60"/>
    <w:rsid w:val="007E3E59"/>
    <w:rsid w:val="007E4514"/>
    <w:rsid w:val="007E5940"/>
    <w:rsid w:val="007E6541"/>
    <w:rsid w:val="007E6A6D"/>
    <w:rsid w:val="007F0240"/>
    <w:rsid w:val="007F08CC"/>
    <w:rsid w:val="007F0BC4"/>
    <w:rsid w:val="007F1597"/>
    <w:rsid w:val="007F1FCF"/>
    <w:rsid w:val="007F2C53"/>
    <w:rsid w:val="007F30F1"/>
    <w:rsid w:val="007F38CA"/>
    <w:rsid w:val="007F3979"/>
    <w:rsid w:val="007F4BEB"/>
    <w:rsid w:val="007F5086"/>
    <w:rsid w:val="007F514D"/>
    <w:rsid w:val="007F52CF"/>
    <w:rsid w:val="007F5951"/>
    <w:rsid w:val="0080003C"/>
    <w:rsid w:val="008004BF"/>
    <w:rsid w:val="00800710"/>
    <w:rsid w:val="0080085C"/>
    <w:rsid w:val="008016E3"/>
    <w:rsid w:val="00802536"/>
    <w:rsid w:val="00804169"/>
    <w:rsid w:val="0080451B"/>
    <w:rsid w:val="008065D4"/>
    <w:rsid w:val="00807C6F"/>
    <w:rsid w:val="0081159E"/>
    <w:rsid w:val="00812392"/>
    <w:rsid w:val="00812580"/>
    <w:rsid w:val="00812A8C"/>
    <w:rsid w:val="00814E3F"/>
    <w:rsid w:val="00815D4C"/>
    <w:rsid w:val="00816287"/>
    <w:rsid w:val="00816534"/>
    <w:rsid w:val="00816BB9"/>
    <w:rsid w:val="008176E0"/>
    <w:rsid w:val="00820D0B"/>
    <w:rsid w:val="00821503"/>
    <w:rsid w:val="00825240"/>
    <w:rsid w:val="00826193"/>
    <w:rsid w:val="00831B38"/>
    <w:rsid w:val="008321DA"/>
    <w:rsid w:val="00832A12"/>
    <w:rsid w:val="008337E6"/>
    <w:rsid w:val="008341D5"/>
    <w:rsid w:val="00835845"/>
    <w:rsid w:val="00836EDE"/>
    <w:rsid w:val="00840DC7"/>
    <w:rsid w:val="00840DCD"/>
    <w:rsid w:val="00840EF4"/>
    <w:rsid w:val="00841F3E"/>
    <w:rsid w:val="00842076"/>
    <w:rsid w:val="00842C96"/>
    <w:rsid w:val="00843A7B"/>
    <w:rsid w:val="00844E39"/>
    <w:rsid w:val="00850534"/>
    <w:rsid w:val="00850E69"/>
    <w:rsid w:val="00851CD1"/>
    <w:rsid w:val="00852157"/>
    <w:rsid w:val="008600F2"/>
    <w:rsid w:val="008619C1"/>
    <w:rsid w:val="00862AE3"/>
    <w:rsid w:val="00862BCB"/>
    <w:rsid w:val="00863DCC"/>
    <w:rsid w:val="008646CD"/>
    <w:rsid w:val="00864B67"/>
    <w:rsid w:val="00866092"/>
    <w:rsid w:val="00869F23"/>
    <w:rsid w:val="00871274"/>
    <w:rsid w:val="00871875"/>
    <w:rsid w:val="00873417"/>
    <w:rsid w:val="00873ADB"/>
    <w:rsid w:val="008749CD"/>
    <w:rsid w:val="00874D6F"/>
    <w:rsid w:val="00875316"/>
    <w:rsid w:val="0087593C"/>
    <w:rsid w:val="008775CB"/>
    <w:rsid w:val="00877A7B"/>
    <w:rsid w:val="00880227"/>
    <w:rsid w:val="0088206B"/>
    <w:rsid w:val="00884964"/>
    <w:rsid w:val="00886333"/>
    <w:rsid w:val="00887E5F"/>
    <w:rsid w:val="00891222"/>
    <w:rsid w:val="0089380B"/>
    <w:rsid w:val="00895CC5"/>
    <w:rsid w:val="0089647A"/>
    <w:rsid w:val="008965F1"/>
    <w:rsid w:val="00896ED3"/>
    <w:rsid w:val="008A0457"/>
    <w:rsid w:val="008A1543"/>
    <w:rsid w:val="008A3E88"/>
    <w:rsid w:val="008A4ADC"/>
    <w:rsid w:val="008A6AE3"/>
    <w:rsid w:val="008A6DBD"/>
    <w:rsid w:val="008A7470"/>
    <w:rsid w:val="008A7DCC"/>
    <w:rsid w:val="008B0176"/>
    <w:rsid w:val="008B0FF6"/>
    <w:rsid w:val="008B155F"/>
    <w:rsid w:val="008B20A1"/>
    <w:rsid w:val="008B3AE5"/>
    <w:rsid w:val="008B53B7"/>
    <w:rsid w:val="008B5B00"/>
    <w:rsid w:val="008B5F97"/>
    <w:rsid w:val="008B66AA"/>
    <w:rsid w:val="008B693A"/>
    <w:rsid w:val="008B777C"/>
    <w:rsid w:val="008C002E"/>
    <w:rsid w:val="008C07C2"/>
    <w:rsid w:val="008C0CB8"/>
    <w:rsid w:val="008C0F85"/>
    <w:rsid w:val="008C2F35"/>
    <w:rsid w:val="008C4911"/>
    <w:rsid w:val="008C6CE4"/>
    <w:rsid w:val="008C6F28"/>
    <w:rsid w:val="008C7367"/>
    <w:rsid w:val="008C77C0"/>
    <w:rsid w:val="008C7A5B"/>
    <w:rsid w:val="008D027E"/>
    <w:rsid w:val="008D0BE9"/>
    <w:rsid w:val="008D12D0"/>
    <w:rsid w:val="008D20E1"/>
    <w:rsid w:val="008D25F4"/>
    <w:rsid w:val="008D26F3"/>
    <w:rsid w:val="008D489E"/>
    <w:rsid w:val="008D4F52"/>
    <w:rsid w:val="008D61DD"/>
    <w:rsid w:val="008D6BD0"/>
    <w:rsid w:val="008E028C"/>
    <w:rsid w:val="008E0C38"/>
    <w:rsid w:val="008E15A0"/>
    <w:rsid w:val="008E1763"/>
    <w:rsid w:val="008E2267"/>
    <w:rsid w:val="008E26A4"/>
    <w:rsid w:val="008E42B8"/>
    <w:rsid w:val="008E60C1"/>
    <w:rsid w:val="008F1BFC"/>
    <w:rsid w:val="008F6754"/>
    <w:rsid w:val="009006E4"/>
    <w:rsid w:val="00903E8B"/>
    <w:rsid w:val="00904A33"/>
    <w:rsid w:val="00904B9C"/>
    <w:rsid w:val="00904BC9"/>
    <w:rsid w:val="009055AF"/>
    <w:rsid w:val="00905F9E"/>
    <w:rsid w:val="00906131"/>
    <w:rsid w:val="009065F8"/>
    <w:rsid w:val="0090684C"/>
    <w:rsid w:val="0090763A"/>
    <w:rsid w:val="009077E9"/>
    <w:rsid w:val="00910028"/>
    <w:rsid w:val="00910F6E"/>
    <w:rsid w:val="009123BB"/>
    <w:rsid w:val="009124FE"/>
    <w:rsid w:val="00914899"/>
    <w:rsid w:val="00915965"/>
    <w:rsid w:val="00915BBA"/>
    <w:rsid w:val="00916062"/>
    <w:rsid w:val="00916872"/>
    <w:rsid w:val="00916E99"/>
    <w:rsid w:val="00921310"/>
    <w:rsid w:val="00922B67"/>
    <w:rsid w:val="00923676"/>
    <w:rsid w:val="00923A33"/>
    <w:rsid w:val="009241EB"/>
    <w:rsid w:val="00924557"/>
    <w:rsid w:val="00925198"/>
    <w:rsid w:val="00925E19"/>
    <w:rsid w:val="00926C4C"/>
    <w:rsid w:val="009274D4"/>
    <w:rsid w:val="00927E06"/>
    <w:rsid w:val="009300C6"/>
    <w:rsid w:val="0093021E"/>
    <w:rsid w:val="009325E8"/>
    <w:rsid w:val="00932611"/>
    <w:rsid w:val="00933226"/>
    <w:rsid w:val="0093327B"/>
    <w:rsid w:val="00933C32"/>
    <w:rsid w:val="00934020"/>
    <w:rsid w:val="009340B8"/>
    <w:rsid w:val="0093644D"/>
    <w:rsid w:val="00937392"/>
    <w:rsid w:val="00940140"/>
    <w:rsid w:val="00942942"/>
    <w:rsid w:val="009431DA"/>
    <w:rsid w:val="00943763"/>
    <w:rsid w:val="00943C43"/>
    <w:rsid w:val="00944B43"/>
    <w:rsid w:val="00945AC2"/>
    <w:rsid w:val="009470D5"/>
    <w:rsid w:val="00947BAB"/>
    <w:rsid w:val="00947ED1"/>
    <w:rsid w:val="00950092"/>
    <w:rsid w:val="00950213"/>
    <w:rsid w:val="00950461"/>
    <w:rsid w:val="0095099D"/>
    <w:rsid w:val="009521D5"/>
    <w:rsid w:val="00952AFF"/>
    <w:rsid w:val="00953792"/>
    <w:rsid w:val="00953EBB"/>
    <w:rsid w:val="0095426F"/>
    <w:rsid w:val="00954800"/>
    <w:rsid w:val="00954E9F"/>
    <w:rsid w:val="009554CD"/>
    <w:rsid w:val="009554FB"/>
    <w:rsid w:val="00955E59"/>
    <w:rsid w:val="009578BB"/>
    <w:rsid w:val="00957A21"/>
    <w:rsid w:val="00957AD4"/>
    <w:rsid w:val="009627BF"/>
    <w:rsid w:val="009628FC"/>
    <w:rsid w:val="009629A7"/>
    <w:rsid w:val="00962C6D"/>
    <w:rsid w:val="009649D6"/>
    <w:rsid w:val="00965C72"/>
    <w:rsid w:val="00965EB6"/>
    <w:rsid w:val="00967455"/>
    <w:rsid w:val="00971390"/>
    <w:rsid w:val="009717F3"/>
    <w:rsid w:val="009719CD"/>
    <w:rsid w:val="00972442"/>
    <w:rsid w:val="0097367D"/>
    <w:rsid w:val="00973F91"/>
    <w:rsid w:val="00975364"/>
    <w:rsid w:val="009758BB"/>
    <w:rsid w:val="009765E6"/>
    <w:rsid w:val="009812D8"/>
    <w:rsid w:val="00981B1B"/>
    <w:rsid w:val="00982F55"/>
    <w:rsid w:val="009833BA"/>
    <w:rsid w:val="0098485E"/>
    <w:rsid w:val="009848B5"/>
    <w:rsid w:val="00984D66"/>
    <w:rsid w:val="0098590A"/>
    <w:rsid w:val="00987203"/>
    <w:rsid w:val="00987D1E"/>
    <w:rsid w:val="00987E89"/>
    <w:rsid w:val="0099089E"/>
    <w:rsid w:val="00991885"/>
    <w:rsid w:val="009922FE"/>
    <w:rsid w:val="00992867"/>
    <w:rsid w:val="00994E1A"/>
    <w:rsid w:val="00994EBF"/>
    <w:rsid w:val="0099686D"/>
    <w:rsid w:val="00996C4A"/>
    <w:rsid w:val="00997791"/>
    <w:rsid w:val="00997D18"/>
    <w:rsid w:val="009A0E22"/>
    <w:rsid w:val="009A11ED"/>
    <w:rsid w:val="009A1222"/>
    <w:rsid w:val="009A1939"/>
    <w:rsid w:val="009A2036"/>
    <w:rsid w:val="009A3339"/>
    <w:rsid w:val="009A3EE3"/>
    <w:rsid w:val="009A429E"/>
    <w:rsid w:val="009A6373"/>
    <w:rsid w:val="009A78FA"/>
    <w:rsid w:val="009A7B03"/>
    <w:rsid w:val="009B0BB0"/>
    <w:rsid w:val="009B20E2"/>
    <w:rsid w:val="009B3434"/>
    <w:rsid w:val="009B37A7"/>
    <w:rsid w:val="009B454A"/>
    <w:rsid w:val="009B4B87"/>
    <w:rsid w:val="009B4DA4"/>
    <w:rsid w:val="009B51D3"/>
    <w:rsid w:val="009B53E5"/>
    <w:rsid w:val="009B5993"/>
    <w:rsid w:val="009B5E76"/>
    <w:rsid w:val="009C03E2"/>
    <w:rsid w:val="009C1201"/>
    <w:rsid w:val="009C15D9"/>
    <w:rsid w:val="009C16DC"/>
    <w:rsid w:val="009C1BDE"/>
    <w:rsid w:val="009C2043"/>
    <w:rsid w:val="009C21B6"/>
    <w:rsid w:val="009C273B"/>
    <w:rsid w:val="009C305C"/>
    <w:rsid w:val="009C36A7"/>
    <w:rsid w:val="009C4004"/>
    <w:rsid w:val="009C4CAA"/>
    <w:rsid w:val="009C74A2"/>
    <w:rsid w:val="009D1010"/>
    <w:rsid w:val="009D122B"/>
    <w:rsid w:val="009D1BC6"/>
    <w:rsid w:val="009D63E9"/>
    <w:rsid w:val="009D6615"/>
    <w:rsid w:val="009E0F23"/>
    <w:rsid w:val="009E130E"/>
    <w:rsid w:val="009E29BE"/>
    <w:rsid w:val="009E49D2"/>
    <w:rsid w:val="009E558E"/>
    <w:rsid w:val="009E58E4"/>
    <w:rsid w:val="009E71FA"/>
    <w:rsid w:val="009F039F"/>
    <w:rsid w:val="009F05E5"/>
    <w:rsid w:val="009F0ADD"/>
    <w:rsid w:val="009F18CC"/>
    <w:rsid w:val="009F19E5"/>
    <w:rsid w:val="009F2E59"/>
    <w:rsid w:val="009F5CE2"/>
    <w:rsid w:val="009F6721"/>
    <w:rsid w:val="009F68C4"/>
    <w:rsid w:val="009F74AE"/>
    <w:rsid w:val="00A00240"/>
    <w:rsid w:val="00A00402"/>
    <w:rsid w:val="00A011EA"/>
    <w:rsid w:val="00A02C99"/>
    <w:rsid w:val="00A02D7B"/>
    <w:rsid w:val="00A02EAA"/>
    <w:rsid w:val="00A03DA8"/>
    <w:rsid w:val="00A04D28"/>
    <w:rsid w:val="00A052CD"/>
    <w:rsid w:val="00A0630B"/>
    <w:rsid w:val="00A0647C"/>
    <w:rsid w:val="00A0760D"/>
    <w:rsid w:val="00A12B7F"/>
    <w:rsid w:val="00A133FB"/>
    <w:rsid w:val="00A135E8"/>
    <w:rsid w:val="00A14817"/>
    <w:rsid w:val="00A15267"/>
    <w:rsid w:val="00A15629"/>
    <w:rsid w:val="00A156A4"/>
    <w:rsid w:val="00A156BD"/>
    <w:rsid w:val="00A16EC8"/>
    <w:rsid w:val="00A1753B"/>
    <w:rsid w:val="00A20193"/>
    <w:rsid w:val="00A21A00"/>
    <w:rsid w:val="00A21CE4"/>
    <w:rsid w:val="00A228D0"/>
    <w:rsid w:val="00A25A29"/>
    <w:rsid w:val="00A26284"/>
    <w:rsid w:val="00A26774"/>
    <w:rsid w:val="00A26D84"/>
    <w:rsid w:val="00A26FC4"/>
    <w:rsid w:val="00A277D4"/>
    <w:rsid w:val="00A27A09"/>
    <w:rsid w:val="00A309DD"/>
    <w:rsid w:val="00A31322"/>
    <w:rsid w:val="00A32D8B"/>
    <w:rsid w:val="00A33305"/>
    <w:rsid w:val="00A34A96"/>
    <w:rsid w:val="00A36489"/>
    <w:rsid w:val="00A37B3D"/>
    <w:rsid w:val="00A37F63"/>
    <w:rsid w:val="00A4088A"/>
    <w:rsid w:val="00A40A5E"/>
    <w:rsid w:val="00A412A8"/>
    <w:rsid w:val="00A43A0C"/>
    <w:rsid w:val="00A446CE"/>
    <w:rsid w:val="00A4483F"/>
    <w:rsid w:val="00A45414"/>
    <w:rsid w:val="00A454DE"/>
    <w:rsid w:val="00A457E1"/>
    <w:rsid w:val="00A4644B"/>
    <w:rsid w:val="00A4665A"/>
    <w:rsid w:val="00A500CE"/>
    <w:rsid w:val="00A5039F"/>
    <w:rsid w:val="00A519A7"/>
    <w:rsid w:val="00A55B4C"/>
    <w:rsid w:val="00A5654F"/>
    <w:rsid w:val="00A56C84"/>
    <w:rsid w:val="00A56E40"/>
    <w:rsid w:val="00A579CA"/>
    <w:rsid w:val="00A57C49"/>
    <w:rsid w:val="00A60467"/>
    <w:rsid w:val="00A618B3"/>
    <w:rsid w:val="00A61A7E"/>
    <w:rsid w:val="00A62055"/>
    <w:rsid w:val="00A62FA5"/>
    <w:rsid w:val="00A63081"/>
    <w:rsid w:val="00A63381"/>
    <w:rsid w:val="00A63CFC"/>
    <w:rsid w:val="00A65ECF"/>
    <w:rsid w:val="00A67CBE"/>
    <w:rsid w:val="00A7024A"/>
    <w:rsid w:val="00A702CE"/>
    <w:rsid w:val="00A71A64"/>
    <w:rsid w:val="00A71F37"/>
    <w:rsid w:val="00A72CEA"/>
    <w:rsid w:val="00A72EFF"/>
    <w:rsid w:val="00A738A5"/>
    <w:rsid w:val="00A755A7"/>
    <w:rsid w:val="00A76201"/>
    <w:rsid w:val="00A778AF"/>
    <w:rsid w:val="00A77A72"/>
    <w:rsid w:val="00A77C90"/>
    <w:rsid w:val="00A8061E"/>
    <w:rsid w:val="00A81046"/>
    <w:rsid w:val="00A81E63"/>
    <w:rsid w:val="00A8367A"/>
    <w:rsid w:val="00A837A1"/>
    <w:rsid w:val="00A83AEC"/>
    <w:rsid w:val="00A849BB"/>
    <w:rsid w:val="00A84BE0"/>
    <w:rsid w:val="00A8532A"/>
    <w:rsid w:val="00A858D8"/>
    <w:rsid w:val="00A869DD"/>
    <w:rsid w:val="00A86CFE"/>
    <w:rsid w:val="00A903C0"/>
    <w:rsid w:val="00A91AEE"/>
    <w:rsid w:val="00A9292D"/>
    <w:rsid w:val="00A930CA"/>
    <w:rsid w:val="00A94504"/>
    <w:rsid w:val="00AA0114"/>
    <w:rsid w:val="00AA140F"/>
    <w:rsid w:val="00AB1B80"/>
    <w:rsid w:val="00AB1C07"/>
    <w:rsid w:val="00AB1CFA"/>
    <w:rsid w:val="00AB257E"/>
    <w:rsid w:val="00AB30CC"/>
    <w:rsid w:val="00AB3DC8"/>
    <w:rsid w:val="00AB3F4C"/>
    <w:rsid w:val="00AB415F"/>
    <w:rsid w:val="00AB6045"/>
    <w:rsid w:val="00AB7972"/>
    <w:rsid w:val="00AB7DAB"/>
    <w:rsid w:val="00AC1494"/>
    <w:rsid w:val="00AC1772"/>
    <w:rsid w:val="00AC1D8E"/>
    <w:rsid w:val="00AC2B5E"/>
    <w:rsid w:val="00AC2F18"/>
    <w:rsid w:val="00AC3845"/>
    <w:rsid w:val="00AC4A4B"/>
    <w:rsid w:val="00AD0520"/>
    <w:rsid w:val="00AD0980"/>
    <w:rsid w:val="00AD2485"/>
    <w:rsid w:val="00AD25E9"/>
    <w:rsid w:val="00AD3782"/>
    <w:rsid w:val="00AD4150"/>
    <w:rsid w:val="00AD671E"/>
    <w:rsid w:val="00AD67DE"/>
    <w:rsid w:val="00AD71DB"/>
    <w:rsid w:val="00AE0775"/>
    <w:rsid w:val="00AE2518"/>
    <w:rsid w:val="00AE3DCE"/>
    <w:rsid w:val="00AE3E4A"/>
    <w:rsid w:val="00AE6D77"/>
    <w:rsid w:val="00AE7386"/>
    <w:rsid w:val="00AF0D2B"/>
    <w:rsid w:val="00AF1472"/>
    <w:rsid w:val="00AF567C"/>
    <w:rsid w:val="00AF57DE"/>
    <w:rsid w:val="00AF5F4B"/>
    <w:rsid w:val="00AF704A"/>
    <w:rsid w:val="00AF7A4E"/>
    <w:rsid w:val="00B0410A"/>
    <w:rsid w:val="00B04C62"/>
    <w:rsid w:val="00B04E1E"/>
    <w:rsid w:val="00B07409"/>
    <w:rsid w:val="00B10A20"/>
    <w:rsid w:val="00B10F03"/>
    <w:rsid w:val="00B1141D"/>
    <w:rsid w:val="00B12C92"/>
    <w:rsid w:val="00B1362A"/>
    <w:rsid w:val="00B13AEF"/>
    <w:rsid w:val="00B1421A"/>
    <w:rsid w:val="00B14A4A"/>
    <w:rsid w:val="00B14B7E"/>
    <w:rsid w:val="00B155D1"/>
    <w:rsid w:val="00B15B8E"/>
    <w:rsid w:val="00B16BF8"/>
    <w:rsid w:val="00B17064"/>
    <w:rsid w:val="00B212E4"/>
    <w:rsid w:val="00B21BA7"/>
    <w:rsid w:val="00B21CF7"/>
    <w:rsid w:val="00B22054"/>
    <w:rsid w:val="00B22135"/>
    <w:rsid w:val="00B22349"/>
    <w:rsid w:val="00B23492"/>
    <w:rsid w:val="00B24454"/>
    <w:rsid w:val="00B2476F"/>
    <w:rsid w:val="00B260CE"/>
    <w:rsid w:val="00B261C9"/>
    <w:rsid w:val="00B26A7A"/>
    <w:rsid w:val="00B2753B"/>
    <w:rsid w:val="00B27E5F"/>
    <w:rsid w:val="00B314F7"/>
    <w:rsid w:val="00B356D4"/>
    <w:rsid w:val="00B357C4"/>
    <w:rsid w:val="00B43399"/>
    <w:rsid w:val="00B4600D"/>
    <w:rsid w:val="00B475E0"/>
    <w:rsid w:val="00B4783D"/>
    <w:rsid w:val="00B47BB9"/>
    <w:rsid w:val="00B5070B"/>
    <w:rsid w:val="00B50F81"/>
    <w:rsid w:val="00B5113D"/>
    <w:rsid w:val="00B51364"/>
    <w:rsid w:val="00B51D01"/>
    <w:rsid w:val="00B53E3E"/>
    <w:rsid w:val="00B5444B"/>
    <w:rsid w:val="00B54EFE"/>
    <w:rsid w:val="00B554B2"/>
    <w:rsid w:val="00B55924"/>
    <w:rsid w:val="00B56DBB"/>
    <w:rsid w:val="00B56E80"/>
    <w:rsid w:val="00B609BB"/>
    <w:rsid w:val="00B60D51"/>
    <w:rsid w:val="00B61285"/>
    <w:rsid w:val="00B63055"/>
    <w:rsid w:val="00B63243"/>
    <w:rsid w:val="00B634F4"/>
    <w:rsid w:val="00B64C60"/>
    <w:rsid w:val="00B67DA8"/>
    <w:rsid w:val="00B70EF6"/>
    <w:rsid w:val="00B70F70"/>
    <w:rsid w:val="00B71B01"/>
    <w:rsid w:val="00B73F00"/>
    <w:rsid w:val="00B7481D"/>
    <w:rsid w:val="00B74B0A"/>
    <w:rsid w:val="00B74B94"/>
    <w:rsid w:val="00B75024"/>
    <w:rsid w:val="00B753A3"/>
    <w:rsid w:val="00B753E6"/>
    <w:rsid w:val="00B75785"/>
    <w:rsid w:val="00B7599A"/>
    <w:rsid w:val="00B76F53"/>
    <w:rsid w:val="00B77425"/>
    <w:rsid w:val="00B810D0"/>
    <w:rsid w:val="00B817F2"/>
    <w:rsid w:val="00B8263B"/>
    <w:rsid w:val="00B82692"/>
    <w:rsid w:val="00B82959"/>
    <w:rsid w:val="00B833AC"/>
    <w:rsid w:val="00B84350"/>
    <w:rsid w:val="00B858FA"/>
    <w:rsid w:val="00B85A18"/>
    <w:rsid w:val="00B85A96"/>
    <w:rsid w:val="00B86EAE"/>
    <w:rsid w:val="00B87569"/>
    <w:rsid w:val="00B919D4"/>
    <w:rsid w:val="00B91F8D"/>
    <w:rsid w:val="00B920B0"/>
    <w:rsid w:val="00B93DE0"/>
    <w:rsid w:val="00B94370"/>
    <w:rsid w:val="00B94C44"/>
    <w:rsid w:val="00B96AC3"/>
    <w:rsid w:val="00BA04E3"/>
    <w:rsid w:val="00BA1D81"/>
    <w:rsid w:val="00BA24BE"/>
    <w:rsid w:val="00BA3B11"/>
    <w:rsid w:val="00BA501E"/>
    <w:rsid w:val="00BA6591"/>
    <w:rsid w:val="00BA6B2F"/>
    <w:rsid w:val="00BA7695"/>
    <w:rsid w:val="00BB1292"/>
    <w:rsid w:val="00BB14F3"/>
    <w:rsid w:val="00BB1653"/>
    <w:rsid w:val="00BB175D"/>
    <w:rsid w:val="00BB33B6"/>
    <w:rsid w:val="00BB37C5"/>
    <w:rsid w:val="00BB3F88"/>
    <w:rsid w:val="00BC047E"/>
    <w:rsid w:val="00BC0A35"/>
    <w:rsid w:val="00BC10EA"/>
    <w:rsid w:val="00BC144C"/>
    <w:rsid w:val="00BC1918"/>
    <w:rsid w:val="00BC2490"/>
    <w:rsid w:val="00BC28F6"/>
    <w:rsid w:val="00BC2959"/>
    <w:rsid w:val="00BC380A"/>
    <w:rsid w:val="00BC4377"/>
    <w:rsid w:val="00BC583D"/>
    <w:rsid w:val="00BC69C7"/>
    <w:rsid w:val="00BC6BE3"/>
    <w:rsid w:val="00BC7C29"/>
    <w:rsid w:val="00BD1C39"/>
    <w:rsid w:val="00BD1D5D"/>
    <w:rsid w:val="00BD2379"/>
    <w:rsid w:val="00BD2398"/>
    <w:rsid w:val="00BD41E2"/>
    <w:rsid w:val="00BD4896"/>
    <w:rsid w:val="00BD5867"/>
    <w:rsid w:val="00BD5F61"/>
    <w:rsid w:val="00BD7115"/>
    <w:rsid w:val="00BE0817"/>
    <w:rsid w:val="00BE0AA2"/>
    <w:rsid w:val="00BE5812"/>
    <w:rsid w:val="00BE75B8"/>
    <w:rsid w:val="00BE7A9C"/>
    <w:rsid w:val="00BF0304"/>
    <w:rsid w:val="00BF0E6E"/>
    <w:rsid w:val="00BF1669"/>
    <w:rsid w:val="00BF1A1C"/>
    <w:rsid w:val="00BF2333"/>
    <w:rsid w:val="00C016F9"/>
    <w:rsid w:val="00C0377D"/>
    <w:rsid w:val="00C048E3"/>
    <w:rsid w:val="00C05F4D"/>
    <w:rsid w:val="00C061D2"/>
    <w:rsid w:val="00C065F7"/>
    <w:rsid w:val="00C10A51"/>
    <w:rsid w:val="00C11B17"/>
    <w:rsid w:val="00C11B40"/>
    <w:rsid w:val="00C11C32"/>
    <w:rsid w:val="00C13242"/>
    <w:rsid w:val="00C13F95"/>
    <w:rsid w:val="00C142D9"/>
    <w:rsid w:val="00C209D9"/>
    <w:rsid w:val="00C20EF1"/>
    <w:rsid w:val="00C213D6"/>
    <w:rsid w:val="00C2141C"/>
    <w:rsid w:val="00C215D7"/>
    <w:rsid w:val="00C23F6F"/>
    <w:rsid w:val="00C254D7"/>
    <w:rsid w:val="00C25F80"/>
    <w:rsid w:val="00C272D5"/>
    <w:rsid w:val="00C30DED"/>
    <w:rsid w:val="00C30E70"/>
    <w:rsid w:val="00C33806"/>
    <w:rsid w:val="00C368BE"/>
    <w:rsid w:val="00C378DA"/>
    <w:rsid w:val="00C37958"/>
    <w:rsid w:val="00C424CC"/>
    <w:rsid w:val="00C427A5"/>
    <w:rsid w:val="00C43698"/>
    <w:rsid w:val="00C43E5E"/>
    <w:rsid w:val="00C44814"/>
    <w:rsid w:val="00C4485C"/>
    <w:rsid w:val="00C45122"/>
    <w:rsid w:val="00C4521C"/>
    <w:rsid w:val="00C46DF0"/>
    <w:rsid w:val="00C52B28"/>
    <w:rsid w:val="00C53A79"/>
    <w:rsid w:val="00C5464A"/>
    <w:rsid w:val="00C54C79"/>
    <w:rsid w:val="00C60275"/>
    <w:rsid w:val="00C63E66"/>
    <w:rsid w:val="00C64E39"/>
    <w:rsid w:val="00C6586F"/>
    <w:rsid w:val="00C65BF2"/>
    <w:rsid w:val="00C65CE2"/>
    <w:rsid w:val="00C66B64"/>
    <w:rsid w:val="00C66E5D"/>
    <w:rsid w:val="00C67713"/>
    <w:rsid w:val="00C678EB"/>
    <w:rsid w:val="00C70268"/>
    <w:rsid w:val="00C71273"/>
    <w:rsid w:val="00C72555"/>
    <w:rsid w:val="00C744BD"/>
    <w:rsid w:val="00C74C40"/>
    <w:rsid w:val="00C75267"/>
    <w:rsid w:val="00C7760E"/>
    <w:rsid w:val="00C77971"/>
    <w:rsid w:val="00C809B9"/>
    <w:rsid w:val="00C81757"/>
    <w:rsid w:val="00C81A28"/>
    <w:rsid w:val="00C86D0D"/>
    <w:rsid w:val="00C90811"/>
    <w:rsid w:val="00C90C18"/>
    <w:rsid w:val="00C9291F"/>
    <w:rsid w:val="00C93363"/>
    <w:rsid w:val="00C9382E"/>
    <w:rsid w:val="00C95377"/>
    <w:rsid w:val="00C95D76"/>
    <w:rsid w:val="00C97510"/>
    <w:rsid w:val="00CA0589"/>
    <w:rsid w:val="00CA11CB"/>
    <w:rsid w:val="00CA2959"/>
    <w:rsid w:val="00CA385F"/>
    <w:rsid w:val="00CA40F9"/>
    <w:rsid w:val="00CA4294"/>
    <w:rsid w:val="00CA5F1A"/>
    <w:rsid w:val="00CA620A"/>
    <w:rsid w:val="00CA6CE9"/>
    <w:rsid w:val="00CA7171"/>
    <w:rsid w:val="00CB0DAF"/>
    <w:rsid w:val="00CB1CCC"/>
    <w:rsid w:val="00CB1F49"/>
    <w:rsid w:val="00CB2DDA"/>
    <w:rsid w:val="00CB36A4"/>
    <w:rsid w:val="00CB5EEF"/>
    <w:rsid w:val="00CB643F"/>
    <w:rsid w:val="00CB6A48"/>
    <w:rsid w:val="00CB770D"/>
    <w:rsid w:val="00CC05B7"/>
    <w:rsid w:val="00CC21AA"/>
    <w:rsid w:val="00CC26B8"/>
    <w:rsid w:val="00CC3134"/>
    <w:rsid w:val="00CC3DA3"/>
    <w:rsid w:val="00CC6897"/>
    <w:rsid w:val="00CC7D7E"/>
    <w:rsid w:val="00CD1404"/>
    <w:rsid w:val="00CD3DC0"/>
    <w:rsid w:val="00CD4A3F"/>
    <w:rsid w:val="00CD70A3"/>
    <w:rsid w:val="00CE015B"/>
    <w:rsid w:val="00CE0727"/>
    <w:rsid w:val="00CE1A13"/>
    <w:rsid w:val="00CE37DA"/>
    <w:rsid w:val="00CE3C8A"/>
    <w:rsid w:val="00CE4710"/>
    <w:rsid w:val="00CE79A2"/>
    <w:rsid w:val="00CF0D33"/>
    <w:rsid w:val="00CF1440"/>
    <w:rsid w:val="00CF44B6"/>
    <w:rsid w:val="00CF505C"/>
    <w:rsid w:val="00CF51D0"/>
    <w:rsid w:val="00CF5DDD"/>
    <w:rsid w:val="00CF6135"/>
    <w:rsid w:val="00CF67A3"/>
    <w:rsid w:val="00CF70A2"/>
    <w:rsid w:val="00CF7129"/>
    <w:rsid w:val="00CF7FF8"/>
    <w:rsid w:val="00D00DBD"/>
    <w:rsid w:val="00D0152C"/>
    <w:rsid w:val="00D037F9"/>
    <w:rsid w:val="00D0415B"/>
    <w:rsid w:val="00D04C8A"/>
    <w:rsid w:val="00D05F59"/>
    <w:rsid w:val="00D066D7"/>
    <w:rsid w:val="00D06809"/>
    <w:rsid w:val="00D06860"/>
    <w:rsid w:val="00D06894"/>
    <w:rsid w:val="00D10B14"/>
    <w:rsid w:val="00D1140C"/>
    <w:rsid w:val="00D1357C"/>
    <w:rsid w:val="00D165B2"/>
    <w:rsid w:val="00D1739E"/>
    <w:rsid w:val="00D204F1"/>
    <w:rsid w:val="00D20DFF"/>
    <w:rsid w:val="00D214C8"/>
    <w:rsid w:val="00D240FC"/>
    <w:rsid w:val="00D24818"/>
    <w:rsid w:val="00D24CA6"/>
    <w:rsid w:val="00D261C9"/>
    <w:rsid w:val="00D270C3"/>
    <w:rsid w:val="00D2747A"/>
    <w:rsid w:val="00D27BEC"/>
    <w:rsid w:val="00D27DB1"/>
    <w:rsid w:val="00D301BB"/>
    <w:rsid w:val="00D32582"/>
    <w:rsid w:val="00D33C63"/>
    <w:rsid w:val="00D347BE"/>
    <w:rsid w:val="00D34B61"/>
    <w:rsid w:val="00D353FD"/>
    <w:rsid w:val="00D36209"/>
    <w:rsid w:val="00D40105"/>
    <w:rsid w:val="00D40CA4"/>
    <w:rsid w:val="00D41BAC"/>
    <w:rsid w:val="00D4327F"/>
    <w:rsid w:val="00D45064"/>
    <w:rsid w:val="00D4575F"/>
    <w:rsid w:val="00D45C4E"/>
    <w:rsid w:val="00D45C85"/>
    <w:rsid w:val="00D45D89"/>
    <w:rsid w:val="00D471D5"/>
    <w:rsid w:val="00D5333A"/>
    <w:rsid w:val="00D5381C"/>
    <w:rsid w:val="00D5461E"/>
    <w:rsid w:val="00D5468F"/>
    <w:rsid w:val="00D55BB8"/>
    <w:rsid w:val="00D56457"/>
    <w:rsid w:val="00D57B35"/>
    <w:rsid w:val="00D57C8E"/>
    <w:rsid w:val="00D57EE9"/>
    <w:rsid w:val="00D60208"/>
    <w:rsid w:val="00D612F4"/>
    <w:rsid w:val="00D62FF3"/>
    <w:rsid w:val="00D63F1E"/>
    <w:rsid w:val="00D645B9"/>
    <w:rsid w:val="00D662D4"/>
    <w:rsid w:val="00D706E5"/>
    <w:rsid w:val="00D7172A"/>
    <w:rsid w:val="00D71F75"/>
    <w:rsid w:val="00D72BFF"/>
    <w:rsid w:val="00D735EC"/>
    <w:rsid w:val="00D73C9A"/>
    <w:rsid w:val="00D73DD9"/>
    <w:rsid w:val="00D74803"/>
    <w:rsid w:val="00D74892"/>
    <w:rsid w:val="00D75DF3"/>
    <w:rsid w:val="00D7701F"/>
    <w:rsid w:val="00D77DA5"/>
    <w:rsid w:val="00D81591"/>
    <w:rsid w:val="00D830E4"/>
    <w:rsid w:val="00D839A8"/>
    <w:rsid w:val="00D846CE"/>
    <w:rsid w:val="00D8480A"/>
    <w:rsid w:val="00D84839"/>
    <w:rsid w:val="00D863B5"/>
    <w:rsid w:val="00D86606"/>
    <w:rsid w:val="00D87D25"/>
    <w:rsid w:val="00D9130B"/>
    <w:rsid w:val="00D9333A"/>
    <w:rsid w:val="00D9384C"/>
    <w:rsid w:val="00D93A3F"/>
    <w:rsid w:val="00D957C2"/>
    <w:rsid w:val="00D96DC7"/>
    <w:rsid w:val="00DA1642"/>
    <w:rsid w:val="00DA1D66"/>
    <w:rsid w:val="00DA241E"/>
    <w:rsid w:val="00DA3C4A"/>
    <w:rsid w:val="00DA642C"/>
    <w:rsid w:val="00DA6EBD"/>
    <w:rsid w:val="00DB05B2"/>
    <w:rsid w:val="00DB0A29"/>
    <w:rsid w:val="00DB16C3"/>
    <w:rsid w:val="00DB23DE"/>
    <w:rsid w:val="00DB2DE3"/>
    <w:rsid w:val="00DB37B2"/>
    <w:rsid w:val="00DB40D3"/>
    <w:rsid w:val="00DB5D84"/>
    <w:rsid w:val="00DB60FF"/>
    <w:rsid w:val="00DB672A"/>
    <w:rsid w:val="00DC09AB"/>
    <w:rsid w:val="00DC1990"/>
    <w:rsid w:val="00DC19D1"/>
    <w:rsid w:val="00DC1C15"/>
    <w:rsid w:val="00DC2FA1"/>
    <w:rsid w:val="00DC449C"/>
    <w:rsid w:val="00DC6316"/>
    <w:rsid w:val="00DC7093"/>
    <w:rsid w:val="00DC7802"/>
    <w:rsid w:val="00DD2FFF"/>
    <w:rsid w:val="00DD5238"/>
    <w:rsid w:val="00DD5300"/>
    <w:rsid w:val="00DD5361"/>
    <w:rsid w:val="00DD652F"/>
    <w:rsid w:val="00DD759B"/>
    <w:rsid w:val="00DE0053"/>
    <w:rsid w:val="00DE0180"/>
    <w:rsid w:val="00DE06A9"/>
    <w:rsid w:val="00DE2D72"/>
    <w:rsid w:val="00DE2D90"/>
    <w:rsid w:val="00DE3B62"/>
    <w:rsid w:val="00DE3DE3"/>
    <w:rsid w:val="00DE3E42"/>
    <w:rsid w:val="00DE45B0"/>
    <w:rsid w:val="00DE5EE9"/>
    <w:rsid w:val="00DE6ADD"/>
    <w:rsid w:val="00DE6E1B"/>
    <w:rsid w:val="00DF0D35"/>
    <w:rsid w:val="00DF18CB"/>
    <w:rsid w:val="00DF31DC"/>
    <w:rsid w:val="00DF5EA3"/>
    <w:rsid w:val="00DF6FED"/>
    <w:rsid w:val="00DF7548"/>
    <w:rsid w:val="00DF77AE"/>
    <w:rsid w:val="00E019B7"/>
    <w:rsid w:val="00E0291B"/>
    <w:rsid w:val="00E02D61"/>
    <w:rsid w:val="00E0475B"/>
    <w:rsid w:val="00E05371"/>
    <w:rsid w:val="00E06A42"/>
    <w:rsid w:val="00E070E0"/>
    <w:rsid w:val="00E07BD7"/>
    <w:rsid w:val="00E1328E"/>
    <w:rsid w:val="00E14EAC"/>
    <w:rsid w:val="00E15470"/>
    <w:rsid w:val="00E15FF6"/>
    <w:rsid w:val="00E167EF"/>
    <w:rsid w:val="00E16E4E"/>
    <w:rsid w:val="00E2079A"/>
    <w:rsid w:val="00E218FC"/>
    <w:rsid w:val="00E22438"/>
    <w:rsid w:val="00E229C8"/>
    <w:rsid w:val="00E26175"/>
    <w:rsid w:val="00E26768"/>
    <w:rsid w:val="00E27E41"/>
    <w:rsid w:val="00E30428"/>
    <w:rsid w:val="00E310C9"/>
    <w:rsid w:val="00E31B2A"/>
    <w:rsid w:val="00E32CB6"/>
    <w:rsid w:val="00E33830"/>
    <w:rsid w:val="00E3763A"/>
    <w:rsid w:val="00E37711"/>
    <w:rsid w:val="00E4025B"/>
    <w:rsid w:val="00E41CE1"/>
    <w:rsid w:val="00E42973"/>
    <w:rsid w:val="00E42EFB"/>
    <w:rsid w:val="00E44A7B"/>
    <w:rsid w:val="00E455CA"/>
    <w:rsid w:val="00E4636A"/>
    <w:rsid w:val="00E47F46"/>
    <w:rsid w:val="00E506E8"/>
    <w:rsid w:val="00E51B7C"/>
    <w:rsid w:val="00E51FC0"/>
    <w:rsid w:val="00E52A50"/>
    <w:rsid w:val="00E5482A"/>
    <w:rsid w:val="00E54BA4"/>
    <w:rsid w:val="00E54F02"/>
    <w:rsid w:val="00E5505A"/>
    <w:rsid w:val="00E5556B"/>
    <w:rsid w:val="00E57030"/>
    <w:rsid w:val="00E57C55"/>
    <w:rsid w:val="00E57EE4"/>
    <w:rsid w:val="00E602B3"/>
    <w:rsid w:val="00E6033C"/>
    <w:rsid w:val="00E60370"/>
    <w:rsid w:val="00E60D23"/>
    <w:rsid w:val="00E60F81"/>
    <w:rsid w:val="00E61504"/>
    <w:rsid w:val="00E6284D"/>
    <w:rsid w:val="00E62987"/>
    <w:rsid w:val="00E6606D"/>
    <w:rsid w:val="00E70620"/>
    <w:rsid w:val="00E7074E"/>
    <w:rsid w:val="00E70FC3"/>
    <w:rsid w:val="00E713FD"/>
    <w:rsid w:val="00E7185A"/>
    <w:rsid w:val="00E7265A"/>
    <w:rsid w:val="00E7265B"/>
    <w:rsid w:val="00E7391B"/>
    <w:rsid w:val="00E741BC"/>
    <w:rsid w:val="00E757AC"/>
    <w:rsid w:val="00E77106"/>
    <w:rsid w:val="00E819DF"/>
    <w:rsid w:val="00E82C58"/>
    <w:rsid w:val="00E83B71"/>
    <w:rsid w:val="00E84359"/>
    <w:rsid w:val="00E846EC"/>
    <w:rsid w:val="00E872F9"/>
    <w:rsid w:val="00E87AD1"/>
    <w:rsid w:val="00E906DF"/>
    <w:rsid w:val="00E91106"/>
    <w:rsid w:val="00E915CF"/>
    <w:rsid w:val="00E92191"/>
    <w:rsid w:val="00E92B30"/>
    <w:rsid w:val="00E935A7"/>
    <w:rsid w:val="00E9381B"/>
    <w:rsid w:val="00E947E8"/>
    <w:rsid w:val="00E9519D"/>
    <w:rsid w:val="00E95419"/>
    <w:rsid w:val="00E967C9"/>
    <w:rsid w:val="00E97C4D"/>
    <w:rsid w:val="00EA2521"/>
    <w:rsid w:val="00EA31D2"/>
    <w:rsid w:val="00EA329E"/>
    <w:rsid w:val="00EA3C20"/>
    <w:rsid w:val="00EA693E"/>
    <w:rsid w:val="00EA6E9B"/>
    <w:rsid w:val="00EA7349"/>
    <w:rsid w:val="00EB132E"/>
    <w:rsid w:val="00EB228F"/>
    <w:rsid w:val="00EB28DB"/>
    <w:rsid w:val="00EB4424"/>
    <w:rsid w:val="00EB4FF8"/>
    <w:rsid w:val="00EB5B9A"/>
    <w:rsid w:val="00EB6B5E"/>
    <w:rsid w:val="00EB7BAD"/>
    <w:rsid w:val="00EB7FB2"/>
    <w:rsid w:val="00EC1860"/>
    <w:rsid w:val="00EC2C6A"/>
    <w:rsid w:val="00EC314C"/>
    <w:rsid w:val="00EC4406"/>
    <w:rsid w:val="00EC45D9"/>
    <w:rsid w:val="00EC531E"/>
    <w:rsid w:val="00EC7CA2"/>
    <w:rsid w:val="00ED091B"/>
    <w:rsid w:val="00ED10ED"/>
    <w:rsid w:val="00ED17E8"/>
    <w:rsid w:val="00ED1903"/>
    <w:rsid w:val="00ED3499"/>
    <w:rsid w:val="00ED3F08"/>
    <w:rsid w:val="00ED4246"/>
    <w:rsid w:val="00ED4CF2"/>
    <w:rsid w:val="00ED5974"/>
    <w:rsid w:val="00ED6795"/>
    <w:rsid w:val="00EE03F1"/>
    <w:rsid w:val="00EE2093"/>
    <w:rsid w:val="00EE3087"/>
    <w:rsid w:val="00EE3900"/>
    <w:rsid w:val="00EE6BB1"/>
    <w:rsid w:val="00EE723E"/>
    <w:rsid w:val="00EE728F"/>
    <w:rsid w:val="00EE7C16"/>
    <w:rsid w:val="00EF14CD"/>
    <w:rsid w:val="00EF1732"/>
    <w:rsid w:val="00EF2597"/>
    <w:rsid w:val="00EF3B61"/>
    <w:rsid w:val="00EF4202"/>
    <w:rsid w:val="00EF5535"/>
    <w:rsid w:val="00EF59A1"/>
    <w:rsid w:val="00EF5A99"/>
    <w:rsid w:val="00EF60CD"/>
    <w:rsid w:val="00EF660B"/>
    <w:rsid w:val="00EF6957"/>
    <w:rsid w:val="00F01773"/>
    <w:rsid w:val="00F025B3"/>
    <w:rsid w:val="00F02F9B"/>
    <w:rsid w:val="00F04802"/>
    <w:rsid w:val="00F05E40"/>
    <w:rsid w:val="00F0619C"/>
    <w:rsid w:val="00F0784F"/>
    <w:rsid w:val="00F1026B"/>
    <w:rsid w:val="00F11E8B"/>
    <w:rsid w:val="00F1219C"/>
    <w:rsid w:val="00F1254F"/>
    <w:rsid w:val="00F13BF7"/>
    <w:rsid w:val="00F13D75"/>
    <w:rsid w:val="00F140BF"/>
    <w:rsid w:val="00F147F1"/>
    <w:rsid w:val="00F14EE5"/>
    <w:rsid w:val="00F15B2C"/>
    <w:rsid w:val="00F16F20"/>
    <w:rsid w:val="00F16FF8"/>
    <w:rsid w:val="00F17768"/>
    <w:rsid w:val="00F17E4A"/>
    <w:rsid w:val="00F20105"/>
    <w:rsid w:val="00F20845"/>
    <w:rsid w:val="00F22D84"/>
    <w:rsid w:val="00F2368B"/>
    <w:rsid w:val="00F25175"/>
    <w:rsid w:val="00F26750"/>
    <w:rsid w:val="00F300F1"/>
    <w:rsid w:val="00F308BA"/>
    <w:rsid w:val="00F30F0E"/>
    <w:rsid w:val="00F32231"/>
    <w:rsid w:val="00F3273F"/>
    <w:rsid w:val="00F32B3D"/>
    <w:rsid w:val="00F32F50"/>
    <w:rsid w:val="00F3365A"/>
    <w:rsid w:val="00F33CD9"/>
    <w:rsid w:val="00F33D4B"/>
    <w:rsid w:val="00F347DE"/>
    <w:rsid w:val="00F35135"/>
    <w:rsid w:val="00F375E5"/>
    <w:rsid w:val="00F40CD3"/>
    <w:rsid w:val="00F41356"/>
    <w:rsid w:val="00F4162C"/>
    <w:rsid w:val="00F422E8"/>
    <w:rsid w:val="00F42FD6"/>
    <w:rsid w:val="00F43381"/>
    <w:rsid w:val="00F43E43"/>
    <w:rsid w:val="00F446FE"/>
    <w:rsid w:val="00F45FFD"/>
    <w:rsid w:val="00F46299"/>
    <w:rsid w:val="00F5174A"/>
    <w:rsid w:val="00F53033"/>
    <w:rsid w:val="00F5690E"/>
    <w:rsid w:val="00F56A61"/>
    <w:rsid w:val="00F573A2"/>
    <w:rsid w:val="00F579CD"/>
    <w:rsid w:val="00F57C82"/>
    <w:rsid w:val="00F6095F"/>
    <w:rsid w:val="00F61C93"/>
    <w:rsid w:val="00F61DAA"/>
    <w:rsid w:val="00F628C0"/>
    <w:rsid w:val="00F669AA"/>
    <w:rsid w:val="00F66F27"/>
    <w:rsid w:val="00F673E5"/>
    <w:rsid w:val="00F67B5B"/>
    <w:rsid w:val="00F701F9"/>
    <w:rsid w:val="00F70670"/>
    <w:rsid w:val="00F71C52"/>
    <w:rsid w:val="00F71DBE"/>
    <w:rsid w:val="00F72187"/>
    <w:rsid w:val="00F72AC4"/>
    <w:rsid w:val="00F72DBC"/>
    <w:rsid w:val="00F730BB"/>
    <w:rsid w:val="00F73342"/>
    <w:rsid w:val="00F7382F"/>
    <w:rsid w:val="00F73CE6"/>
    <w:rsid w:val="00F73E17"/>
    <w:rsid w:val="00F74182"/>
    <w:rsid w:val="00F76184"/>
    <w:rsid w:val="00F76417"/>
    <w:rsid w:val="00F766FD"/>
    <w:rsid w:val="00F76924"/>
    <w:rsid w:val="00F7795E"/>
    <w:rsid w:val="00F8111D"/>
    <w:rsid w:val="00F8196C"/>
    <w:rsid w:val="00F82B15"/>
    <w:rsid w:val="00F8364E"/>
    <w:rsid w:val="00F8412D"/>
    <w:rsid w:val="00F85CBC"/>
    <w:rsid w:val="00F90E33"/>
    <w:rsid w:val="00F91DF5"/>
    <w:rsid w:val="00F92EF7"/>
    <w:rsid w:val="00F9376E"/>
    <w:rsid w:val="00F946F2"/>
    <w:rsid w:val="00F956C2"/>
    <w:rsid w:val="00F959E6"/>
    <w:rsid w:val="00F979C5"/>
    <w:rsid w:val="00FA104A"/>
    <w:rsid w:val="00FA1CD3"/>
    <w:rsid w:val="00FA5275"/>
    <w:rsid w:val="00FA6B1F"/>
    <w:rsid w:val="00FA74FE"/>
    <w:rsid w:val="00FA7945"/>
    <w:rsid w:val="00FA7BC1"/>
    <w:rsid w:val="00FB015B"/>
    <w:rsid w:val="00FB0208"/>
    <w:rsid w:val="00FB150D"/>
    <w:rsid w:val="00FB154D"/>
    <w:rsid w:val="00FB1C8C"/>
    <w:rsid w:val="00FB2A11"/>
    <w:rsid w:val="00FB5438"/>
    <w:rsid w:val="00FB56B3"/>
    <w:rsid w:val="00FB67CB"/>
    <w:rsid w:val="00FB71C0"/>
    <w:rsid w:val="00FB7234"/>
    <w:rsid w:val="00FB7C0D"/>
    <w:rsid w:val="00FC1BB5"/>
    <w:rsid w:val="00FC24B5"/>
    <w:rsid w:val="00FC2DCC"/>
    <w:rsid w:val="00FC3BFD"/>
    <w:rsid w:val="00FC3D52"/>
    <w:rsid w:val="00FC434F"/>
    <w:rsid w:val="00FC4AFC"/>
    <w:rsid w:val="00FD0B8F"/>
    <w:rsid w:val="00FD0C42"/>
    <w:rsid w:val="00FD1B8A"/>
    <w:rsid w:val="00FD23B3"/>
    <w:rsid w:val="00FD3D99"/>
    <w:rsid w:val="00FD4BB0"/>
    <w:rsid w:val="00FD63F9"/>
    <w:rsid w:val="00FD6892"/>
    <w:rsid w:val="00FE11E2"/>
    <w:rsid w:val="00FE49DA"/>
    <w:rsid w:val="00FE5CEE"/>
    <w:rsid w:val="00FE7568"/>
    <w:rsid w:val="00FF079E"/>
    <w:rsid w:val="00FF0C6C"/>
    <w:rsid w:val="00FF0F53"/>
    <w:rsid w:val="00FF2485"/>
    <w:rsid w:val="00FF2756"/>
    <w:rsid w:val="00FF37D1"/>
    <w:rsid w:val="00FF49FA"/>
    <w:rsid w:val="00FF4A8F"/>
    <w:rsid w:val="00FF649E"/>
    <w:rsid w:val="00FF76B7"/>
    <w:rsid w:val="00FF7F9B"/>
    <w:rsid w:val="01DA29A8"/>
    <w:rsid w:val="0EDD124B"/>
    <w:rsid w:val="132CA008"/>
    <w:rsid w:val="16DBAA5C"/>
    <w:rsid w:val="1B0AB94E"/>
    <w:rsid w:val="1BC55ADA"/>
    <w:rsid w:val="21063B16"/>
    <w:rsid w:val="2224D6D0"/>
    <w:rsid w:val="234D7026"/>
    <w:rsid w:val="27F8FF0C"/>
    <w:rsid w:val="2D86EE49"/>
    <w:rsid w:val="2F60110F"/>
    <w:rsid w:val="353D15B2"/>
    <w:rsid w:val="35AE28C3"/>
    <w:rsid w:val="365053EA"/>
    <w:rsid w:val="36557638"/>
    <w:rsid w:val="38DEBE5A"/>
    <w:rsid w:val="39222719"/>
    <w:rsid w:val="3A657151"/>
    <w:rsid w:val="3CE50663"/>
    <w:rsid w:val="4BA2C4AF"/>
    <w:rsid w:val="4BA93A49"/>
    <w:rsid w:val="4CD5960A"/>
    <w:rsid w:val="5116EE2D"/>
    <w:rsid w:val="52120633"/>
    <w:rsid w:val="546A5202"/>
    <w:rsid w:val="57E0C722"/>
    <w:rsid w:val="64BDF46C"/>
    <w:rsid w:val="64CA5C74"/>
    <w:rsid w:val="64EBA530"/>
    <w:rsid w:val="6A77C7AF"/>
    <w:rsid w:val="6CA9A6D9"/>
    <w:rsid w:val="70178B7C"/>
    <w:rsid w:val="76BBDC9B"/>
    <w:rsid w:val="7A63E8CF"/>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438F46"/>
  <w15:docId w15:val="{095B01A9-93D3-4811-A0C2-0611CDDA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8F7"/>
  </w:style>
  <w:style w:type="paragraph" w:styleId="Ttulo1">
    <w:name w:val="heading 1"/>
    <w:aliases w:val="grandes"/>
    <w:basedOn w:val="Normal"/>
    <w:next w:val="Normal"/>
    <w:link w:val="Ttulo1Car"/>
    <w:uiPriority w:val="9"/>
    <w:qFormat/>
    <w:rsid w:val="000A7B2C"/>
    <w:pPr>
      <w:keepNext/>
      <w:keepLines/>
      <w:numPr>
        <w:numId w:val="7"/>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tulo2">
    <w:name w:val="heading 2"/>
    <w:basedOn w:val="Normal"/>
    <w:next w:val="Normal"/>
    <w:link w:val="Ttulo2Car"/>
    <w:uiPriority w:val="9"/>
    <w:unhideWhenUsed/>
    <w:qFormat/>
    <w:rsid w:val="000A7B2C"/>
    <w:pPr>
      <w:keepNext/>
      <w:keepLines/>
      <w:numPr>
        <w:ilvl w:val="1"/>
        <w:numId w:val="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ar"/>
    <w:uiPriority w:val="9"/>
    <w:semiHidden/>
    <w:unhideWhenUsed/>
    <w:qFormat/>
    <w:rsid w:val="000A7B2C"/>
    <w:pPr>
      <w:keepNext/>
      <w:keepLines/>
      <w:numPr>
        <w:ilvl w:val="2"/>
        <w:numId w:val="7"/>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rsid w:val="000A7B2C"/>
    <w:pPr>
      <w:keepNext/>
      <w:keepLines/>
      <w:numPr>
        <w:ilvl w:val="3"/>
        <w:numId w:val="7"/>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rsid w:val="000A7B2C"/>
    <w:pPr>
      <w:keepNext/>
      <w:keepLines/>
      <w:numPr>
        <w:ilvl w:val="4"/>
        <w:numId w:val="7"/>
      </w:numPr>
      <w:spacing w:before="200" w:after="0"/>
      <w:outlineLvl w:val="4"/>
    </w:pPr>
    <w:rPr>
      <w:rFonts w:asciiTheme="majorHAnsi" w:eastAsiaTheme="majorEastAsia" w:hAnsiTheme="majorHAnsi" w:cstheme="majorBidi"/>
      <w:color w:val="17365D" w:themeColor="text2" w:themeShade="BF"/>
    </w:rPr>
  </w:style>
  <w:style w:type="paragraph" w:styleId="Ttulo6">
    <w:name w:val="heading 6"/>
    <w:basedOn w:val="Normal"/>
    <w:next w:val="Normal"/>
    <w:link w:val="Ttulo6Car"/>
    <w:uiPriority w:val="9"/>
    <w:semiHidden/>
    <w:unhideWhenUsed/>
    <w:qFormat/>
    <w:rsid w:val="000A7B2C"/>
    <w:pPr>
      <w:keepNext/>
      <w:keepLines/>
      <w:numPr>
        <w:ilvl w:val="5"/>
        <w:numId w:val="7"/>
      </w:numPr>
      <w:spacing w:before="200" w:after="0"/>
      <w:outlineLvl w:val="5"/>
    </w:pPr>
    <w:rPr>
      <w:rFonts w:asciiTheme="majorHAnsi" w:eastAsiaTheme="majorEastAsia" w:hAnsiTheme="majorHAnsi" w:cstheme="majorBidi"/>
      <w:i/>
      <w:iCs/>
      <w:color w:val="17365D" w:themeColor="text2" w:themeShade="BF"/>
    </w:rPr>
  </w:style>
  <w:style w:type="paragraph" w:styleId="Ttulo7">
    <w:name w:val="heading 7"/>
    <w:basedOn w:val="Normal"/>
    <w:next w:val="Normal"/>
    <w:link w:val="Ttulo7Car"/>
    <w:uiPriority w:val="9"/>
    <w:semiHidden/>
    <w:unhideWhenUsed/>
    <w:qFormat/>
    <w:rsid w:val="000A7B2C"/>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A7B2C"/>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0A7B2C"/>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1422DE"/>
    <w:pPr>
      <w:ind w:left="360" w:firstLine="360"/>
    </w:pPr>
    <w:rPr>
      <w:lang w:val="es-MX"/>
    </w:rPr>
  </w:style>
  <w:style w:type="paragraph" w:styleId="Sangra2detindependiente">
    <w:name w:val="Body Text Indent 2"/>
    <w:basedOn w:val="Normal"/>
    <w:rsid w:val="001422DE"/>
    <w:pPr>
      <w:ind w:left="720"/>
    </w:pPr>
    <w:rPr>
      <w:lang w:val="es-MX"/>
    </w:rPr>
  </w:style>
  <w:style w:type="paragraph" w:styleId="Ttulo">
    <w:name w:val="Title"/>
    <w:aliases w:val="peque"/>
    <w:basedOn w:val="Normal"/>
    <w:next w:val="Normal"/>
    <w:link w:val="TtuloCar"/>
    <w:uiPriority w:val="10"/>
    <w:qFormat/>
    <w:rsid w:val="000A7B2C"/>
    <w:pPr>
      <w:spacing w:after="0" w:line="240" w:lineRule="auto"/>
      <w:contextualSpacing/>
    </w:pPr>
    <w:rPr>
      <w:rFonts w:asciiTheme="majorHAnsi" w:eastAsiaTheme="majorEastAsia" w:hAnsiTheme="majorHAnsi" w:cstheme="majorBidi"/>
      <w:color w:val="000000" w:themeColor="text1"/>
      <w:sz w:val="56"/>
      <w:szCs w:val="56"/>
    </w:rPr>
  </w:style>
  <w:style w:type="paragraph" w:styleId="Sangra3detindependiente">
    <w:name w:val="Body Text Indent 3"/>
    <w:basedOn w:val="Normal"/>
    <w:rsid w:val="001422DE"/>
    <w:pPr>
      <w:ind w:left="720" w:hanging="360"/>
    </w:pPr>
    <w:rPr>
      <w:lang w:val="es-MX"/>
    </w:rPr>
  </w:style>
  <w:style w:type="paragraph" w:styleId="Encabezado">
    <w:name w:val="header"/>
    <w:basedOn w:val="Normal"/>
    <w:link w:val="EncabezadoCar"/>
    <w:uiPriority w:val="99"/>
    <w:rsid w:val="001422DE"/>
    <w:pPr>
      <w:tabs>
        <w:tab w:val="center" w:pos="4252"/>
        <w:tab w:val="right" w:pos="8504"/>
      </w:tabs>
    </w:pPr>
  </w:style>
  <w:style w:type="paragraph" w:styleId="Piedepgina">
    <w:name w:val="footer"/>
    <w:basedOn w:val="Normal"/>
    <w:link w:val="PiedepginaCar"/>
    <w:uiPriority w:val="99"/>
    <w:rsid w:val="001422DE"/>
    <w:pPr>
      <w:tabs>
        <w:tab w:val="center" w:pos="4252"/>
        <w:tab w:val="right" w:pos="8504"/>
      </w:tabs>
    </w:pPr>
  </w:style>
  <w:style w:type="paragraph" w:styleId="Textodeglobo">
    <w:name w:val="Balloon Text"/>
    <w:basedOn w:val="Normal"/>
    <w:semiHidden/>
    <w:rsid w:val="009C15D9"/>
    <w:rPr>
      <w:rFonts w:ascii="Tahoma" w:hAnsi="Tahoma" w:cs="Tahoma"/>
      <w:sz w:val="16"/>
      <w:szCs w:val="16"/>
    </w:rPr>
  </w:style>
  <w:style w:type="table" w:styleId="Tablaconcuadrcula">
    <w:name w:val="Table Grid"/>
    <w:basedOn w:val="Tablanormal"/>
    <w:rsid w:val="00AA0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rsid w:val="009340B8"/>
    <w:rPr>
      <w:sz w:val="16"/>
      <w:szCs w:val="16"/>
    </w:rPr>
  </w:style>
  <w:style w:type="paragraph" w:styleId="Textocomentario">
    <w:name w:val="annotation text"/>
    <w:basedOn w:val="Normal"/>
    <w:link w:val="TextocomentarioCar"/>
    <w:uiPriority w:val="99"/>
    <w:semiHidden/>
    <w:rsid w:val="009340B8"/>
    <w:rPr>
      <w:sz w:val="20"/>
      <w:szCs w:val="20"/>
    </w:rPr>
  </w:style>
  <w:style w:type="paragraph" w:styleId="Asuntodelcomentario">
    <w:name w:val="annotation subject"/>
    <w:basedOn w:val="Textocomentario"/>
    <w:next w:val="Textocomentario"/>
    <w:semiHidden/>
    <w:rsid w:val="009340B8"/>
    <w:rPr>
      <w:b/>
      <w:bCs/>
    </w:rPr>
  </w:style>
  <w:style w:type="paragraph" w:styleId="Textonotapie">
    <w:name w:val="footnote text"/>
    <w:basedOn w:val="Normal"/>
    <w:semiHidden/>
    <w:rsid w:val="00B10A20"/>
    <w:rPr>
      <w:sz w:val="20"/>
      <w:szCs w:val="20"/>
    </w:rPr>
  </w:style>
  <w:style w:type="character" w:styleId="Refdenotaalpie">
    <w:name w:val="footnote reference"/>
    <w:basedOn w:val="Fuentedeprrafopredeter"/>
    <w:semiHidden/>
    <w:rsid w:val="00B10A20"/>
    <w:rPr>
      <w:vertAlign w:val="superscript"/>
    </w:rPr>
  </w:style>
  <w:style w:type="paragraph" w:styleId="Textoindependiente">
    <w:name w:val="Body Text"/>
    <w:basedOn w:val="Normal"/>
    <w:rsid w:val="00BD2379"/>
    <w:pPr>
      <w:spacing w:after="120"/>
    </w:pPr>
  </w:style>
  <w:style w:type="paragraph" w:styleId="Prrafodelista">
    <w:name w:val="List Paragraph"/>
    <w:basedOn w:val="Normal"/>
    <w:uiPriority w:val="34"/>
    <w:qFormat/>
    <w:rsid w:val="0022673D"/>
    <w:pPr>
      <w:ind w:left="720"/>
      <w:contextualSpacing/>
    </w:pPr>
  </w:style>
  <w:style w:type="character" w:customStyle="1" w:styleId="PiedepginaCar">
    <w:name w:val="Pie de página Car"/>
    <w:basedOn w:val="Fuentedeprrafopredeter"/>
    <w:link w:val="Piedepgina"/>
    <w:uiPriority w:val="99"/>
    <w:rsid w:val="00A0647C"/>
    <w:rPr>
      <w:sz w:val="24"/>
      <w:szCs w:val="24"/>
    </w:rPr>
  </w:style>
  <w:style w:type="character" w:styleId="Hipervnculo">
    <w:name w:val="Hyperlink"/>
    <w:basedOn w:val="Fuentedeprrafopredeter"/>
    <w:uiPriority w:val="99"/>
    <w:unhideWhenUsed/>
    <w:rsid w:val="00EB7BAD"/>
    <w:rPr>
      <w:color w:val="0000FF" w:themeColor="hyperlink"/>
      <w:u w:val="single"/>
    </w:rPr>
  </w:style>
  <w:style w:type="paragraph" w:customStyle="1" w:styleId="Default">
    <w:name w:val="Default"/>
    <w:rsid w:val="00E54F02"/>
    <w:pPr>
      <w:autoSpaceDE w:val="0"/>
      <w:autoSpaceDN w:val="0"/>
      <w:adjustRightInd w:val="0"/>
    </w:pPr>
    <w:rPr>
      <w:rFonts w:ascii="Arial" w:hAnsi="Arial" w:cs="Arial"/>
      <w:color w:val="000000"/>
      <w:sz w:val="24"/>
      <w:szCs w:val="24"/>
      <w:lang w:val="es-CR"/>
    </w:rPr>
  </w:style>
  <w:style w:type="table" w:styleId="Listaclara-nfasis5">
    <w:name w:val="Light List Accent 5"/>
    <w:basedOn w:val="Tablanormal"/>
    <w:uiPriority w:val="61"/>
    <w:rsid w:val="00DB37B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
    <w:name w:val="Light List"/>
    <w:basedOn w:val="Tablanormal"/>
    <w:uiPriority w:val="61"/>
    <w:rsid w:val="00E5556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nfasissutil">
    <w:name w:val="Subtle Emphasis"/>
    <w:basedOn w:val="Fuentedeprrafopredeter"/>
    <w:uiPriority w:val="19"/>
    <w:qFormat/>
    <w:rsid w:val="000A7B2C"/>
    <w:rPr>
      <w:i/>
      <w:iCs/>
      <w:color w:val="404040" w:themeColor="text1" w:themeTint="BF"/>
    </w:rPr>
  </w:style>
  <w:style w:type="paragraph" w:styleId="Sinespaciado">
    <w:name w:val="No Spacing"/>
    <w:link w:val="SinespaciadoCar"/>
    <w:uiPriority w:val="1"/>
    <w:qFormat/>
    <w:rsid w:val="000A7B2C"/>
    <w:pPr>
      <w:spacing w:after="0" w:line="240" w:lineRule="auto"/>
    </w:pPr>
  </w:style>
  <w:style w:type="character" w:styleId="nfasisintenso">
    <w:name w:val="Intense Emphasis"/>
    <w:basedOn w:val="Fuentedeprrafopredeter"/>
    <w:uiPriority w:val="21"/>
    <w:qFormat/>
    <w:rsid w:val="000A7B2C"/>
    <w:rPr>
      <w:b/>
      <w:bCs/>
      <w:i/>
      <w:iCs/>
      <w:caps/>
    </w:rPr>
  </w:style>
  <w:style w:type="paragraph" w:styleId="TtuloTDC">
    <w:name w:val="TOC Heading"/>
    <w:basedOn w:val="Ttulo1"/>
    <w:next w:val="Normal"/>
    <w:uiPriority w:val="39"/>
    <w:unhideWhenUsed/>
    <w:qFormat/>
    <w:rsid w:val="000A7B2C"/>
    <w:pPr>
      <w:outlineLvl w:val="9"/>
    </w:pPr>
  </w:style>
  <w:style w:type="paragraph" w:styleId="TDC1">
    <w:name w:val="toc 1"/>
    <w:basedOn w:val="Normal"/>
    <w:next w:val="Normal"/>
    <w:autoRedefine/>
    <w:uiPriority w:val="39"/>
    <w:rsid w:val="00B1362A"/>
    <w:pPr>
      <w:tabs>
        <w:tab w:val="right" w:leader="dot" w:pos="8494"/>
      </w:tabs>
      <w:spacing w:after="100"/>
      <w:jc w:val="center"/>
    </w:pPr>
    <w:rPr>
      <w:rFonts w:ascii="Arial" w:hAnsi="Arial"/>
      <w:bCs/>
      <w:smallCaps/>
      <w:noProof/>
      <w:color w:val="000000" w:themeColor="text1"/>
      <w:spacing w:val="5"/>
      <w:sz w:val="28"/>
      <w:lang w:val="es-MX"/>
    </w:rPr>
  </w:style>
  <w:style w:type="paragraph" w:styleId="TDC2">
    <w:name w:val="toc 2"/>
    <w:basedOn w:val="Normal"/>
    <w:next w:val="Normal"/>
    <w:autoRedefine/>
    <w:uiPriority w:val="39"/>
    <w:rsid w:val="00F56A61"/>
    <w:pPr>
      <w:tabs>
        <w:tab w:val="left" w:pos="660"/>
        <w:tab w:val="right" w:leader="dot" w:pos="8494"/>
      </w:tabs>
      <w:spacing w:after="100"/>
      <w:ind w:left="240"/>
    </w:pPr>
  </w:style>
  <w:style w:type="character" w:customStyle="1" w:styleId="EncabezadoCar">
    <w:name w:val="Encabezado Car"/>
    <w:basedOn w:val="Fuentedeprrafopredeter"/>
    <w:link w:val="Encabezado"/>
    <w:uiPriority w:val="99"/>
    <w:rsid w:val="003D7DEA"/>
    <w:rPr>
      <w:sz w:val="24"/>
      <w:szCs w:val="24"/>
    </w:rPr>
  </w:style>
  <w:style w:type="table" w:styleId="Listaclara-nfasis1">
    <w:name w:val="Light List Accent 1"/>
    <w:basedOn w:val="Tablanormal"/>
    <w:uiPriority w:val="61"/>
    <w:rsid w:val="00B21CF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242891"/>
  </w:style>
  <w:style w:type="character" w:styleId="Textoennegrita">
    <w:name w:val="Strong"/>
    <w:aliases w:val="apartados"/>
    <w:basedOn w:val="Fuentedeprrafopredeter"/>
    <w:uiPriority w:val="22"/>
    <w:qFormat/>
    <w:rsid w:val="000A7B2C"/>
    <w:rPr>
      <w:b/>
      <w:bCs/>
      <w:color w:val="000000" w:themeColor="text1"/>
    </w:rPr>
  </w:style>
  <w:style w:type="paragraph" w:styleId="Subttulo">
    <w:name w:val="Subtitle"/>
    <w:basedOn w:val="Normal"/>
    <w:next w:val="Normal"/>
    <w:link w:val="SubttuloCar"/>
    <w:uiPriority w:val="11"/>
    <w:qFormat/>
    <w:rsid w:val="000A7B2C"/>
    <w:pPr>
      <w:numPr>
        <w:ilvl w:val="1"/>
      </w:numPr>
    </w:pPr>
    <w:rPr>
      <w:color w:val="5A5A5A" w:themeColor="text1" w:themeTint="A5"/>
      <w:spacing w:val="10"/>
    </w:rPr>
  </w:style>
  <w:style w:type="character" w:customStyle="1" w:styleId="SubttuloCar">
    <w:name w:val="Subtítulo Car"/>
    <w:basedOn w:val="Fuentedeprrafopredeter"/>
    <w:link w:val="Subttulo"/>
    <w:uiPriority w:val="11"/>
    <w:rsid w:val="000A7B2C"/>
    <w:rPr>
      <w:color w:val="5A5A5A" w:themeColor="text1" w:themeTint="A5"/>
      <w:spacing w:val="10"/>
    </w:rPr>
  </w:style>
  <w:style w:type="character" w:styleId="Ttulodellibro">
    <w:name w:val="Book Title"/>
    <w:basedOn w:val="Fuentedeprrafopredeter"/>
    <w:uiPriority w:val="33"/>
    <w:qFormat/>
    <w:rsid w:val="000A7B2C"/>
    <w:rPr>
      <w:b w:val="0"/>
      <w:bCs w:val="0"/>
      <w:smallCaps/>
      <w:spacing w:val="5"/>
    </w:rPr>
  </w:style>
  <w:style w:type="character" w:styleId="nfasis">
    <w:name w:val="Emphasis"/>
    <w:basedOn w:val="Fuentedeprrafopredeter"/>
    <w:uiPriority w:val="20"/>
    <w:qFormat/>
    <w:rsid w:val="000A7B2C"/>
    <w:rPr>
      <w:i/>
      <w:iCs/>
      <w:color w:val="auto"/>
    </w:rPr>
  </w:style>
  <w:style w:type="character" w:customStyle="1" w:styleId="TextocomentarioCar">
    <w:name w:val="Texto comentario Car"/>
    <w:basedOn w:val="Fuentedeprrafopredeter"/>
    <w:link w:val="Textocomentario"/>
    <w:uiPriority w:val="99"/>
    <w:semiHidden/>
    <w:rsid w:val="005702BA"/>
  </w:style>
  <w:style w:type="character" w:styleId="Mencinsinresolver">
    <w:name w:val="Unresolved Mention"/>
    <w:basedOn w:val="Fuentedeprrafopredeter"/>
    <w:uiPriority w:val="99"/>
    <w:semiHidden/>
    <w:unhideWhenUsed/>
    <w:rsid w:val="00CC7D7E"/>
    <w:rPr>
      <w:color w:val="605E5C"/>
      <w:shd w:val="clear" w:color="auto" w:fill="E1DFDD"/>
    </w:rPr>
  </w:style>
  <w:style w:type="character" w:customStyle="1" w:styleId="Ttulo1Car">
    <w:name w:val="Título 1 Car"/>
    <w:aliases w:val="grandes Car"/>
    <w:basedOn w:val="Fuentedeprrafopredeter"/>
    <w:link w:val="Ttulo1"/>
    <w:uiPriority w:val="9"/>
    <w:rsid w:val="000A7B2C"/>
    <w:rPr>
      <w:rFonts w:asciiTheme="majorHAnsi" w:eastAsiaTheme="majorEastAsia" w:hAnsiTheme="majorHAnsi" w:cstheme="majorBidi"/>
      <w:b/>
      <w:bCs/>
      <w:smallCaps/>
      <w:color w:val="000000" w:themeColor="text1"/>
      <w:sz w:val="36"/>
      <w:szCs w:val="36"/>
    </w:rPr>
  </w:style>
  <w:style w:type="character" w:customStyle="1" w:styleId="Ttulo2Car">
    <w:name w:val="Título 2 Car"/>
    <w:basedOn w:val="Fuentedeprrafopredeter"/>
    <w:link w:val="Ttulo2"/>
    <w:uiPriority w:val="9"/>
    <w:rsid w:val="000A7B2C"/>
    <w:rPr>
      <w:rFonts w:asciiTheme="majorHAnsi" w:eastAsiaTheme="majorEastAsia" w:hAnsiTheme="majorHAnsi" w:cstheme="majorBidi"/>
      <w:b/>
      <w:bCs/>
      <w:smallCaps/>
      <w:color w:val="000000" w:themeColor="text1"/>
      <w:sz w:val="28"/>
      <w:szCs w:val="28"/>
    </w:rPr>
  </w:style>
  <w:style w:type="character" w:customStyle="1" w:styleId="Ttulo3Car">
    <w:name w:val="Título 3 Car"/>
    <w:basedOn w:val="Fuentedeprrafopredeter"/>
    <w:link w:val="Ttulo3"/>
    <w:uiPriority w:val="9"/>
    <w:semiHidden/>
    <w:rsid w:val="000A7B2C"/>
    <w:rPr>
      <w:rFonts w:asciiTheme="majorHAnsi" w:eastAsiaTheme="majorEastAsia" w:hAnsiTheme="majorHAnsi" w:cstheme="majorBidi"/>
      <w:b/>
      <w:bCs/>
      <w:color w:val="000000" w:themeColor="text1"/>
    </w:rPr>
  </w:style>
  <w:style w:type="character" w:customStyle="1" w:styleId="Ttulo4Car">
    <w:name w:val="Título 4 Car"/>
    <w:basedOn w:val="Fuentedeprrafopredeter"/>
    <w:link w:val="Ttulo4"/>
    <w:uiPriority w:val="9"/>
    <w:semiHidden/>
    <w:rsid w:val="000A7B2C"/>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sid w:val="000A7B2C"/>
    <w:rPr>
      <w:rFonts w:asciiTheme="majorHAnsi" w:eastAsiaTheme="majorEastAsia" w:hAnsiTheme="majorHAnsi" w:cstheme="majorBidi"/>
      <w:color w:val="17365D" w:themeColor="text2" w:themeShade="BF"/>
    </w:rPr>
  </w:style>
  <w:style w:type="character" w:customStyle="1" w:styleId="Ttulo6Car">
    <w:name w:val="Título 6 Car"/>
    <w:basedOn w:val="Fuentedeprrafopredeter"/>
    <w:link w:val="Ttulo6"/>
    <w:uiPriority w:val="9"/>
    <w:semiHidden/>
    <w:rsid w:val="000A7B2C"/>
    <w:rPr>
      <w:rFonts w:asciiTheme="majorHAnsi" w:eastAsiaTheme="majorEastAsia" w:hAnsiTheme="majorHAnsi" w:cstheme="majorBidi"/>
      <w:i/>
      <w:iCs/>
      <w:color w:val="17365D" w:themeColor="text2" w:themeShade="BF"/>
    </w:rPr>
  </w:style>
  <w:style w:type="character" w:customStyle="1" w:styleId="Ttulo7Car">
    <w:name w:val="Título 7 Car"/>
    <w:basedOn w:val="Fuentedeprrafopredeter"/>
    <w:link w:val="Ttulo7"/>
    <w:uiPriority w:val="9"/>
    <w:semiHidden/>
    <w:rsid w:val="000A7B2C"/>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A7B2C"/>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A7B2C"/>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0A7B2C"/>
    <w:pPr>
      <w:spacing w:after="200" w:line="240" w:lineRule="auto"/>
    </w:pPr>
    <w:rPr>
      <w:i/>
      <w:iCs/>
      <w:color w:val="1F497D" w:themeColor="text2"/>
      <w:sz w:val="18"/>
      <w:szCs w:val="18"/>
    </w:rPr>
  </w:style>
  <w:style w:type="character" w:customStyle="1" w:styleId="TtuloCar">
    <w:name w:val="Título Car"/>
    <w:aliases w:val="peque Car"/>
    <w:basedOn w:val="Fuentedeprrafopredeter"/>
    <w:link w:val="Ttulo"/>
    <w:uiPriority w:val="10"/>
    <w:rsid w:val="000A7B2C"/>
    <w:rPr>
      <w:rFonts w:asciiTheme="majorHAnsi" w:eastAsiaTheme="majorEastAsia" w:hAnsiTheme="majorHAnsi" w:cstheme="majorBidi"/>
      <w:color w:val="000000" w:themeColor="text1"/>
      <w:sz w:val="56"/>
      <w:szCs w:val="56"/>
    </w:rPr>
  </w:style>
  <w:style w:type="paragraph" w:styleId="Cita">
    <w:name w:val="Quote"/>
    <w:basedOn w:val="Normal"/>
    <w:next w:val="Normal"/>
    <w:link w:val="CitaCar"/>
    <w:uiPriority w:val="29"/>
    <w:qFormat/>
    <w:rsid w:val="000A7B2C"/>
    <w:pPr>
      <w:spacing w:before="160"/>
      <w:ind w:left="720" w:right="720"/>
    </w:pPr>
    <w:rPr>
      <w:i/>
      <w:iCs/>
      <w:color w:val="000000" w:themeColor="text1"/>
    </w:rPr>
  </w:style>
  <w:style w:type="character" w:customStyle="1" w:styleId="CitaCar">
    <w:name w:val="Cita Car"/>
    <w:basedOn w:val="Fuentedeprrafopredeter"/>
    <w:link w:val="Cita"/>
    <w:uiPriority w:val="29"/>
    <w:rsid w:val="000A7B2C"/>
    <w:rPr>
      <w:i/>
      <w:iCs/>
      <w:color w:val="000000" w:themeColor="text1"/>
    </w:rPr>
  </w:style>
  <w:style w:type="paragraph" w:styleId="Citadestacada">
    <w:name w:val="Intense Quote"/>
    <w:basedOn w:val="Normal"/>
    <w:next w:val="Normal"/>
    <w:link w:val="CitadestacadaCar"/>
    <w:uiPriority w:val="30"/>
    <w:qFormat/>
    <w:rsid w:val="000A7B2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sid w:val="000A7B2C"/>
    <w:rPr>
      <w:color w:val="000000" w:themeColor="text1"/>
      <w:shd w:val="clear" w:color="auto" w:fill="F2F2F2" w:themeFill="background1" w:themeFillShade="F2"/>
    </w:rPr>
  </w:style>
  <w:style w:type="character" w:styleId="Referenciasutil">
    <w:name w:val="Subtle Reference"/>
    <w:basedOn w:val="Fuentedeprrafopredeter"/>
    <w:uiPriority w:val="31"/>
    <w:qFormat/>
    <w:rsid w:val="000A7B2C"/>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0A7B2C"/>
    <w:rPr>
      <w:b/>
      <w:bCs/>
      <w:smallCaps/>
      <w:u w:val="single"/>
    </w:rPr>
  </w:style>
  <w:style w:type="table" w:styleId="Tabladelista3-nfasis1">
    <w:name w:val="List Table 3 Accent 1"/>
    <w:basedOn w:val="Tablanormal"/>
    <w:uiPriority w:val="48"/>
    <w:rsid w:val="004F243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Revisin">
    <w:name w:val="Revision"/>
    <w:hidden/>
    <w:uiPriority w:val="99"/>
    <w:semiHidden/>
    <w:rsid w:val="00D27DB1"/>
    <w:pPr>
      <w:spacing w:after="0" w:line="240" w:lineRule="auto"/>
    </w:pPr>
  </w:style>
  <w:style w:type="table" w:customStyle="1" w:styleId="Listaclara-nfasis11">
    <w:name w:val="Lista clara - Énfasis 11"/>
    <w:basedOn w:val="Tablanormal"/>
    <w:next w:val="Listaclara-nfasis1"/>
    <w:uiPriority w:val="61"/>
    <w:rsid w:val="00072B03"/>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tulos">
    <w:name w:val="Títulos"/>
    <w:basedOn w:val="Normal"/>
    <w:link w:val="TtulosCar"/>
    <w:qFormat/>
    <w:rsid w:val="002F0A84"/>
    <w:pPr>
      <w:jc w:val="center"/>
    </w:pPr>
    <w:rPr>
      <w:rFonts w:ascii="Arial" w:hAnsi="Arial" w:cs="Arial"/>
      <w:color w:val="002060"/>
      <w:sz w:val="28"/>
      <w:szCs w:val="20"/>
      <w:lang w:val="es-MX"/>
    </w:rPr>
  </w:style>
  <w:style w:type="character" w:customStyle="1" w:styleId="TtulosCar">
    <w:name w:val="Títulos Car"/>
    <w:basedOn w:val="Fuentedeprrafopredeter"/>
    <w:link w:val="Ttulos"/>
    <w:rsid w:val="002F0A84"/>
    <w:rPr>
      <w:rFonts w:ascii="Arial" w:hAnsi="Arial" w:cs="Arial"/>
      <w:color w:val="002060"/>
      <w:sz w:val="28"/>
      <w:szCs w:val="20"/>
      <w:lang w:val="es-MX"/>
    </w:rPr>
  </w:style>
  <w:style w:type="paragraph" w:styleId="Continuarlista5">
    <w:name w:val="List Continue 5"/>
    <w:basedOn w:val="Normal"/>
    <w:qFormat/>
    <w:rsid w:val="00603BF8"/>
    <w:pPr>
      <w:spacing w:before="240" w:after="60" w:line="240" w:lineRule="auto"/>
      <w:jc w:val="both"/>
    </w:pPr>
    <w:rPr>
      <w:rFonts w:ascii="Arial" w:eastAsia="Calibri" w:hAnsi="Arial" w:cs="Arial"/>
      <w:lang w:eastAsia="en-US"/>
    </w:rPr>
  </w:style>
  <w:style w:type="paragraph" w:styleId="NormalWeb">
    <w:name w:val="Normal (Web)"/>
    <w:basedOn w:val="Normal"/>
    <w:uiPriority w:val="99"/>
    <w:semiHidden/>
    <w:unhideWhenUsed/>
    <w:rsid w:val="00C2141C"/>
    <w:pPr>
      <w:spacing w:before="100" w:beforeAutospacing="1" w:after="100" w:afterAutospacing="1" w:line="240" w:lineRule="auto"/>
    </w:pPr>
    <w:rPr>
      <w:rFonts w:ascii="Times New Roman" w:eastAsia="Times New Roman" w:hAnsi="Times New Roman" w:cs="Times New Roman"/>
      <w:sz w:val="24"/>
      <w:szCs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7832">
      <w:bodyDiv w:val="1"/>
      <w:marLeft w:val="0"/>
      <w:marRight w:val="0"/>
      <w:marTop w:val="0"/>
      <w:marBottom w:val="0"/>
      <w:divBdr>
        <w:top w:val="none" w:sz="0" w:space="0" w:color="auto"/>
        <w:left w:val="none" w:sz="0" w:space="0" w:color="auto"/>
        <w:bottom w:val="none" w:sz="0" w:space="0" w:color="auto"/>
        <w:right w:val="none" w:sz="0" w:space="0" w:color="auto"/>
      </w:divBdr>
    </w:div>
    <w:div w:id="50159360">
      <w:bodyDiv w:val="1"/>
      <w:marLeft w:val="0"/>
      <w:marRight w:val="0"/>
      <w:marTop w:val="0"/>
      <w:marBottom w:val="0"/>
      <w:divBdr>
        <w:top w:val="none" w:sz="0" w:space="0" w:color="auto"/>
        <w:left w:val="none" w:sz="0" w:space="0" w:color="auto"/>
        <w:bottom w:val="none" w:sz="0" w:space="0" w:color="auto"/>
        <w:right w:val="none" w:sz="0" w:space="0" w:color="auto"/>
      </w:divBdr>
    </w:div>
    <w:div w:id="66460801">
      <w:bodyDiv w:val="1"/>
      <w:marLeft w:val="0"/>
      <w:marRight w:val="0"/>
      <w:marTop w:val="0"/>
      <w:marBottom w:val="0"/>
      <w:divBdr>
        <w:top w:val="none" w:sz="0" w:space="0" w:color="auto"/>
        <w:left w:val="none" w:sz="0" w:space="0" w:color="auto"/>
        <w:bottom w:val="none" w:sz="0" w:space="0" w:color="auto"/>
        <w:right w:val="none" w:sz="0" w:space="0" w:color="auto"/>
      </w:divBdr>
    </w:div>
    <w:div w:id="72896565">
      <w:bodyDiv w:val="1"/>
      <w:marLeft w:val="0"/>
      <w:marRight w:val="0"/>
      <w:marTop w:val="0"/>
      <w:marBottom w:val="0"/>
      <w:divBdr>
        <w:top w:val="none" w:sz="0" w:space="0" w:color="auto"/>
        <w:left w:val="none" w:sz="0" w:space="0" w:color="auto"/>
        <w:bottom w:val="none" w:sz="0" w:space="0" w:color="auto"/>
        <w:right w:val="none" w:sz="0" w:space="0" w:color="auto"/>
      </w:divBdr>
    </w:div>
    <w:div w:id="124081033">
      <w:bodyDiv w:val="1"/>
      <w:marLeft w:val="0"/>
      <w:marRight w:val="0"/>
      <w:marTop w:val="0"/>
      <w:marBottom w:val="0"/>
      <w:divBdr>
        <w:top w:val="none" w:sz="0" w:space="0" w:color="auto"/>
        <w:left w:val="none" w:sz="0" w:space="0" w:color="auto"/>
        <w:bottom w:val="none" w:sz="0" w:space="0" w:color="auto"/>
        <w:right w:val="none" w:sz="0" w:space="0" w:color="auto"/>
      </w:divBdr>
    </w:div>
    <w:div w:id="129514669">
      <w:bodyDiv w:val="1"/>
      <w:marLeft w:val="0"/>
      <w:marRight w:val="0"/>
      <w:marTop w:val="0"/>
      <w:marBottom w:val="0"/>
      <w:divBdr>
        <w:top w:val="none" w:sz="0" w:space="0" w:color="auto"/>
        <w:left w:val="none" w:sz="0" w:space="0" w:color="auto"/>
        <w:bottom w:val="none" w:sz="0" w:space="0" w:color="auto"/>
        <w:right w:val="none" w:sz="0" w:space="0" w:color="auto"/>
      </w:divBdr>
    </w:div>
    <w:div w:id="137455500">
      <w:bodyDiv w:val="1"/>
      <w:marLeft w:val="0"/>
      <w:marRight w:val="0"/>
      <w:marTop w:val="0"/>
      <w:marBottom w:val="0"/>
      <w:divBdr>
        <w:top w:val="none" w:sz="0" w:space="0" w:color="auto"/>
        <w:left w:val="none" w:sz="0" w:space="0" w:color="auto"/>
        <w:bottom w:val="none" w:sz="0" w:space="0" w:color="auto"/>
        <w:right w:val="none" w:sz="0" w:space="0" w:color="auto"/>
      </w:divBdr>
    </w:div>
    <w:div w:id="165095915">
      <w:bodyDiv w:val="1"/>
      <w:marLeft w:val="0"/>
      <w:marRight w:val="0"/>
      <w:marTop w:val="0"/>
      <w:marBottom w:val="0"/>
      <w:divBdr>
        <w:top w:val="none" w:sz="0" w:space="0" w:color="auto"/>
        <w:left w:val="none" w:sz="0" w:space="0" w:color="auto"/>
        <w:bottom w:val="none" w:sz="0" w:space="0" w:color="auto"/>
        <w:right w:val="none" w:sz="0" w:space="0" w:color="auto"/>
      </w:divBdr>
    </w:div>
    <w:div w:id="480469007">
      <w:bodyDiv w:val="1"/>
      <w:marLeft w:val="0"/>
      <w:marRight w:val="0"/>
      <w:marTop w:val="0"/>
      <w:marBottom w:val="0"/>
      <w:divBdr>
        <w:top w:val="none" w:sz="0" w:space="0" w:color="auto"/>
        <w:left w:val="none" w:sz="0" w:space="0" w:color="auto"/>
        <w:bottom w:val="none" w:sz="0" w:space="0" w:color="auto"/>
        <w:right w:val="none" w:sz="0" w:space="0" w:color="auto"/>
      </w:divBdr>
    </w:div>
    <w:div w:id="531841350">
      <w:bodyDiv w:val="1"/>
      <w:marLeft w:val="0"/>
      <w:marRight w:val="0"/>
      <w:marTop w:val="0"/>
      <w:marBottom w:val="0"/>
      <w:divBdr>
        <w:top w:val="none" w:sz="0" w:space="0" w:color="auto"/>
        <w:left w:val="none" w:sz="0" w:space="0" w:color="auto"/>
        <w:bottom w:val="none" w:sz="0" w:space="0" w:color="auto"/>
        <w:right w:val="none" w:sz="0" w:space="0" w:color="auto"/>
      </w:divBdr>
    </w:div>
    <w:div w:id="715815680">
      <w:bodyDiv w:val="1"/>
      <w:marLeft w:val="0"/>
      <w:marRight w:val="0"/>
      <w:marTop w:val="0"/>
      <w:marBottom w:val="0"/>
      <w:divBdr>
        <w:top w:val="none" w:sz="0" w:space="0" w:color="auto"/>
        <w:left w:val="none" w:sz="0" w:space="0" w:color="auto"/>
        <w:bottom w:val="none" w:sz="0" w:space="0" w:color="auto"/>
        <w:right w:val="none" w:sz="0" w:space="0" w:color="auto"/>
      </w:divBdr>
    </w:div>
    <w:div w:id="746421875">
      <w:bodyDiv w:val="1"/>
      <w:marLeft w:val="0"/>
      <w:marRight w:val="0"/>
      <w:marTop w:val="0"/>
      <w:marBottom w:val="0"/>
      <w:divBdr>
        <w:top w:val="none" w:sz="0" w:space="0" w:color="auto"/>
        <w:left w:val="none" w:sz="0" w:space="0" w:color="auto"/>
        <w:bottom w:val="none" w:sz="0" w:space="0" w:color="auto"/>
        <w:right w:val="none" w:sz="0" w:space="0" w:color="auto"/>
      </w:divBdr>
    </w:div>
    <w:div w:id="750201396">
      <w:bodyDiv w:val="1"/>
      <w:marLeft w:val="0"/>
      <w:marRight w:val="0"/>
      <w:marTop w:val="0"/>
      <w:marBottom w:val="0"/>
      <w:divBdr>
        <w:top w:val="none" w:sz="0" w:space="0" w:color="auto"/>
        <w:left w:val="none" w:sz="0" w:space="0" w:color="auto"/>
        <w:bottom w:val="none" w:sz="0" w:space="0" w:color="auto"/>
        <w:right w:val="none" w:sz="0" w:space="0" w:color="auto"/>
      </w:divBdr>
    </w:div>
    <w:div w:id="815679387">
      <w:bodyDiv w:val="1"/>
      <w:marLeft w:val="0"/>
      <w:marRight w:val="0"/>
      <w:marTop w:val="0"/>
      <w:marBottom w:val="0"/>
      <w:divBdr>
        <w:top w:val="none" w:sz="0" w:space="0" w:color="auto"/>
        <w:left w:val="none" w:sz="0" w:space="0" w:color="auto"/>
        <w:bottom w:val="none" w:sz="0" w:space="0" w:color="auto"/>
        <w:right w:val="none" w:sz="0" w:space="0" w:color="auto"/>
      </w:divBdr>
    </w:div>
    <w:div w:id="876553646">
      <w:bodyDiv w:val="1"/>
      <w:marLeft w:val="0"/>
      <w:marRight w:val="0"/>
      <w:marTop w:val="0"/>
      <w:marBottom w:val="0"/>
      <w:divBdr>
        <w:top w:val="none" w:sz="0" w:space="0" w:color="auto"/>
        <w:left w:val="none" w:sz="0" w:space="0" w:color="auto"/>
        <w:bottom w:val="none" w:sz="0" w:space="0" w:color="auto"/>
        <w:right w:val="none" w:sz="0" w:space="0" w:color="auto"/>
      </w:divBdr>
    </w:div>
    <w:div w:id="913704419">
      <w:bodyDiv w:val="1"/>
      <w:marLeft w:val="0"/>
      <w:marRight w:val="0"/>
      <w:marTop w:val="0"/>
      <w:marBottom w:val="0"/>
      <w:divBdr>
        <w:top w:val="none" w:sz="0" w:space="0" w:color="auto"/>
        <w:left w:val="none" w:sz="0" w:space="0" w:color="auto"/>
        <w:bottom w:val="none" w:sz="0" w:space="0" w:color="auto"/>
        <w:right w:val="none" w:sz="0" w:space="0" w:color="auto"/>
      </w:divBdr>
    </w:div>
    <w:div w:id="924653301">
      <w:bodyDiv w:val="1"/>
      <w:marLeft w:val="0"/>
      <w:marRight w:val="0"/>
      <w:marTop w:val="0"/>
      <w:marBottom w:val="0"/>
      <w:divBdr>
        <w:top w:val="none" w:sz="0" w:space="0" w:color="auto"/>
        <w:left w:val="none" w:sz="0" w:space="0" w:color="auto"/>
        <w:bottom w:val="none" w:sz="0" w:space="0" w:color="auto"/>
        <w:right w:val="none" w:sz="0" w:space="0" w:color="auto"/>
      </w:divBdr>
    </w:div>
    <w:div w:id="968321184">
      <w:bodyDiv w:val="1"/>
      <w:marLeft w:val="0"/>
      <w:marRight w:val="0"/>
      <w:marTop w:val="0"/>
      <w:marBottom w:val="0"/>
      <w:divBdr>
        <w:top w:val="none" w:sz="0" w:space="0" w:color="auto"/>
        <w:left w:val="none" w:sz="0" w:space="0" w:color="auto"/>
        <w:bottom w:val="none" w:sz="0" w:space="0" w:color="auto"/>
        <w:right w:val="none" w:sz="0" w:space="0" w:color="auto"/>
      </w:divBdr>
    </w:div>
    <w:div w:id="977026510">
      <w:bodyDiv w:val="1"/>
      <w:marLeft w:val="0"/>
      <w:marRight w:val="0"/>
      <w:marTop w:val="0"/>
      <w:marBottom w:val="0"/>
      <w:divBdr>
        <w:top w:val="none" w:sz="0" w:space="0" w:color="auto"/>
        <w:left w:val="none" w:sz="0" w:space="0" w:color="auto"/>
        <w:bottom w:val="none" w:sz="0" w:space="0" w:color="auto"/>
        <w:right w:val="none" w:sz="0" w:space="0" w:color="auto"/>
      </w:divBdr>
    </w:div>
    <w:div w:id="1026904333">
      <w:bodyDiv w:val="1"/>
      <w:marLeft w:val="0"/>
      <w:marRight w:val="0"/>
      <w:marTop w:val="0"/>
      <w:marBottom w:val="0"/>
      <w:divBdr>
        <w:top w:val="none" w:sz="0" w:space="0" w:color="auto"/>
        <w:left w:val="none" w:sz="0" w:space="0" w:color="auto"/>
        <w:bottom w:val="none" w:sz="0" w:space="0" w:color="auto"/>
        <w:right w:val="none" w:sz="0" w:space="0" w:color="auto"/>
      </w:divBdr>
    </w:div>
    <w:div w:id="1228299854">
      <w:bodyDiv w:val="1"/>
      <w:marLeft w:val="0"/>
      <w:marRight w:val="0"/>
      <w:marTop w:val="0"/>
      <w:marBottom w:val="0"/>
      <w:divBdr>
        <w:top w:val="none" w:sz="0" w:space="0" w:color="auto"/>
        <w:left w:val="none" w:sz="0" w:space="0" w:color="auto"/>
        <w:bottom w:val="none" w:sz="0" w:space="0" w:color="auto"/>
        <w:right w:val="none" w:sz="0" w:space="0" w:color="auto"/>
      </w:divBdr>
    </w:div>
    <w:div w:id="1249735126">
      <w:bodyDiv w:val="1"/>
      <w:marLeft w:val="0"/>
      <w:marRight w:val="0"/>
      <w:marTop w:val="0"/>
      <w:marBottom w:val="0"/>
      <w:divBdr>
        <w:top w:val="none" w:sz="0" w:space="0" w:color="auto"/>
        <w:left w:val="none" w:sz="0" w:space="0" w:color="auto"/>
        <w:bottom w:val="none" w:sz="0" w:space="0" w:color="auto"/>
        <w:right w:val="none" w:sz="0" w:space="0" w:color="auto"/>
      </w:divBdr>
    </w:div>
    <w:div w:id="1268344517">
      <w:bodyDiv w:val="1"/>
      <w:marLeft w:val="0"/>
      <w:marRight w:val="0"/>
      <w:marTop w:val="0"/>
      <w:marBottom w:val="0"/>
      <w:divBdr>
        <w:top w:val="none" w:sz="0" w:space="0" w:color="auto"/>
        <w:left w:val="none" w:sz="0" w:space="0" w:color="auto"/>
        <w:bottom w:val="none" w:sz="0" w:space="0" w:color="auto"/>
        <w:right w:val="none" w:sz="0" w:space="0" w:color="auto"/>
      </w:divBdr>
    </w:div>
    <w:div w:id="1308700609">
      <w:bodyDiv w:val="1"/>
      <w:marLeft w:val="0"/>
      <w:marRight w:val="0"/>
      <w:marTop w:val="0"/>
      <w:marBottom w:val="0"/>
      <w:divBdr>
        <w:top w:val="none" w:sz="0" w:space="0" w:color="auto"/>
        <w:left w:val="none" w:sz="0" w:space="0" w:color="auto"/>
        <w:bottom w:val="none" w:sz="0" w:space="0" w:color="auto"/>
        <w:right w:val="none" w:sz="0" w:space="0" w:color="auto"/>
      </w:divBdr>
    </w:div>
    <w:div w:id="1328047631">
      <w:bodyDiv w:val="1"/>
      <w:marLeft w:val="0"/>
      <w:marRight w:val="0"/>
      <w:marTop w:val="0"/>
      <w:marBottom w:val="0"/>
      <w:divBdr>
        <w:top w:val="none" w:sz="0" w:space="0" w:color="auto"/>
        <w:left w:val="none" w:sz="0" w:space="0" w:color="auto"/>
        <w:bottom w:val="none" w:sz="0" w:space="0" w:color="auto"/>
        <w:right w:val="none" w:sz="0" w:space="0" w:color="auto"/>
      </w:divBdr>
    </w:div>
    <w:div w:id="1328364111">
      <w:bodyDiv w:val="1"/>
      <w:marLeft w:val="0"/>
      <w:marRight w:val="0"/>
      <w:marTop w:val="0"/>
      <w:marBottom w:val="0"/>
      <w:divBdr>
        <w:top w:val="none" w:sz="0" w:space="0" w:color="auto"/>
        <w:left w:val="none" w:sz="0" w:space="0" w:color="auto"/>
        <w:bottom w:val="none" w:sz="0" w:space="0" w:color="auto"/>
        <w:right w:val="none" w:sz="0" w:space="0" w:color="auto"/>
      </w:divBdr>
    </w:div>
    <w:div w:id="1351445399">
      <w:bodyDiv w:val="1"/>
      <w:marLeft w:val="0"/>
      <w:marRight w:val="0"/>
      <w:marTop w:val="0"/>
      <w:marBottom w:val="0"/>
      <w:divBdr>
        <w:top w:val="none" w:sz="0" w:space="0" w:color="auto"/>
        <w:left w:val="none" w:sz="0" w:space="0" w:color="auto"/>
        <w:bottom w:val="none" w:sz="0" w:space="0" w:color="auto"/>
        <w:right w:val="none" w:sz="0" w:space="0" w:color="auto"/>
      </w:divBdr>
    </w:div>
    <w:div w:id="1359741742">
      <w:bodyDiv w:val="1"/>
      <w:marLeft w:val="0"/>
      <w:marRight w:val="0"/>
      <w:marTop w:val="0"/>
      <w:marBottom w:val="0"/>
      <w:divBdr>
        <w:top w:val="none" w:sz="0" w:space="0" w:color="auto"/>
        <w:left w:val="none" w:sz="0" w:space="0" w:color="auto"/>
        <w:bottom w:val="none" w:sz="0" w:space="0" w:color="auto"/>
        <w:right w:val="none" w:sz="0" w:space="0" w:color="auto"/>
      </w:divBdr>
    </w:div>
    <w:div w:id="1568298505">
      <w:bodyDiv w:val="1"/>
      <w:marLeft w:val="0"/>
      <w:marRight w:val="0"/>
      <w:marTop w:val="0"/>
      <w:marBottom w:val="0"/>
      <w:divBdr>
        <w:top w:val="none" w:sz="0" w:space="0" w:color="auto"/>
        <w:left w:val="none" w:sz="0" w:space="0" w:color="auto"/>
        <w:bottom w:val="none" w:sz="0" w:space="0" w:color="auto"/>
        <w:right w:val="none" w:sz="0" w:space="0" w:color="auto"/>
      </w:divBdr>
    </w:div>
    <w:div w:id="1604915953">
      <w:bodyDiv w:val="1"/>
      <w:marLeft w:val="0"/>
      <w:marRight w:val="0"/>
      <w:marTop w:val="0"/>
      <w:marBottom w:val="0"/>
      <w:divBdr>
        <w:top w:val="none" w:sz="0" w:space="0" w:color="auto"/>
        <w:left w:val="none" w:sz="0" w:space="0" w:color="auto"/>
        <w:bottom w:val="none" w:sz="0" w:space="0" w:color="auto"/>
        <w:right w:val="none" w:sz="0" w:space="0" w:color="auto"/>
      </w:divBdr>
    </w:div>
    <w:div w:id="1625648486">
      <w:bodyDiv w:val="1"/>
      <w:marLeft w:val="0"/>
      <w:marRight w:val="0"/>
      <w:marTop w:val="0"/>
      <w:marBottom w:val="0"/>
      <w:divBdr>
        <w:top w:val="none" w:sz="0" w:space="0" w:color="auto"/>
        <w:left w:val="none" w:sz="0" w:space="0" w:color="auto"/>
        <w:bottom w:val="none" w:sz="0" w:space="0" w:color="auto"/>
        <w:right w:val="none" w:sz="0" w:space="0" w:color="auto"/>
      </w:divBdr>
    </w:div>
    <w:div w:id="1670863297">
      <w:bodyDiv w:val="1"/>
      <w:marLeft w:val="0"/>
      <w:marRight w:val="0"/>
      <w:marTop w:val="0"/>
      <w:marBottom w:val="0"/>
      <w:divBdr>
        <w:top w:val="none" w:sz="0" w:space="0" w:color="auto"/>
        <w:left w:val="none" w:sz="0" w:space="0" w:color="auto"/>
        <w:bottom w:val="none" w:sz="0" w:space="0" w:color="auto"/>
        <w:right w:val="none" w:sz="0" w:space="0" w:color="auto"/>
      </w:divBdr>
    </w:div>
    <w:div w:id="1689796627">
      <w:bodyDiv w:val="1"/>
      <w:marLeft w:val="0"/>
      <w:marRight w:val="0"/>
      <w:marTop w:val="0"/>
      <w:marBottom w:val="0"/>
      <w:divBdr>
        <w:top w:val="none" w:sz="0" w:space="0" w:color="auto"/>
        <w:left w:val="none" w:sz="0" w:space="0" w:color="auto"/>
        <w:bottom w:val="none" w:sz="0" w:space="0" w:color="auto"/>
        <w:right w:val="none" w:sz="0" w:space="0" w:color="auto"/>
      </w:divBdr>
    </w:div>
    <w:div w:id="1769276508">
      <w:bodyDiv w:val="1"/>
      <w:marLeft w:val="0"/>
      <w:marRight w:val="0"/>
      <w:marTop w:val="0"/>
      <w:marBottom w:val="0"/>
      <w:divBdr>
        <w:top w:val="none" w:sz="0" w:space="0" w:color="auto"/>
        <w:left w:val="none" w:sz="0" w:space="0" w:color="auto"/>
        <w:bottom w:val="none" w:sz="0" w:space="0" w:color="auto"/>
        <w:right w:val="none" w:sz="0" w:space="0" w:color="auto"/>
      </w:divBdr>
    </w:div>
    <w:div w:id="1790316195">
      <w:bodyDiv w:val="1"/>
      <w:marLeft w:val="0"/>
      <w:marRight w:val="0"/>
      <w:marTop w:val="0"/>
      <w:marBottom w:val="0"/>
      <w:divBdr>
        <w:top w:val="none" w:sz="0" w:space="0" w:color="auto"/>
        <w:left w:val="none" w:sz="0" w:space="0" w:color="auto"/>
        <w:bottom w:val="none" w:sz="0" w:space="0" w:color="auto"/>
        <w:right w:val="none" w:sz="0" w:space="0" w:color="auto"/>
      </w:divBdr>
    </w:div>
    <w:div w:id="1800217811">
      <w:bodyDiv w:val="1"/>
      <w:marLeft w:val="0"/>
      <w:marRight w:val="0"/>
      <w:marTop w:val="0"/>
      <w:marBottom w:val="0"/>
      <w:divBdr>
        <w:top w:val="none" w:sz="0" w:space="0" w:color="auto"/>
        <w:left w:val="none" w:sz="0" w:space="0" w:color="auto"/>
        <w:bottom w:val="none" w:sz="0" w:space="0" w:color="auto"/>
        <w:right w:val="none" w:sz="0" w:space="0" w:color="auto"/>
      </w:divBdr>
      <w:divsChild>
        <w:div w:id="705956320">
          <w:marLeft w:val="547"/>
          <w:marRight w:val="0"/>
          <w:marTop w:val="0"/>
          <w:marBottom w:val="0"/>
          <w:divBdr>
            <w:top w:val="none" w:sz="0" w:space="0" w:color="auto"/>
            <w:left w:val="none" w:sz="0" w:space="0" w:color="auto"/>
            <w:bottom w:val="none" w:sz="0" w:space="0" w:color="auto"/>
            <w:right w:val="none" w:sz="0" w:space="0" w:color="auto"/>
          </w:divBdr>
        </w:div>
      </w:divsChild>
    </w:div>
    <w:div w:id="1817793675">
      <w:bodyDiv w:val="1"/>
      <w:marLeft w:val="0"/>
      <w:marRight w:val="0"/>
      <w:marTop w:val="0"/>
      <w:marBottom w:val="0"/>
      <w:divBdr>
        <w:top w:val="none" w:sz="0" w:space="0" w:color="auto"/>
        <w:left w:val="none" w:sz="0" w:space="0" w:color="auto"/>
        <w:bottom w:val="none" w:sz="0" w:space="0" w:color="auto"/>
        <w:right w:val="none" w:sz="0" w:space="0" w:color="auto"/>
      </w:divBdr>
    </w:div>
    <w:div w:id="1949315557">
      <w:bodyDiv w:val="1"/>
      <w:marLeft w:val="0"/>
      <w:marRight w:val="0"/>
      <w:marTop w:val="0"/>
      <w:marBottom w:val="0"/>
      <w:divBdr>
        <w:top w:val="none" w:sz="0" w:space="0" w:color="auto"/>
        <w:left w:val="none" w:sz="0" w:space="0" w:color="auto"/>
        <w:bottom w:val="none" w:sz="0" w:space="0" w:color="auto"/>
        <w:right w:val="none" w:sz="0" w:space="0" w:color="auto"/>
      </w:divBdr>
    </w:div>
    <w:div w:id="1974407205">
      <w:bodyDiv w:val="1"/>
      <w:marLeft w:val="0"/>
      <w:marRight w:val="0"/>
      <w:marTop w:val="0"/>
      <w:marBottom w:val="0"/>
      <w:divBdr>
        <w:top w:val="none" w:sz="0" w:space="0" w:color="auto"/>
        <w:left w:val="none" w:sz="0" w:space="0" w:color="auto"/>
        <w:bottom w:val="none" w:sz="0" w:space="0" w:color="auto"/>
        <w:right w:val="none" w:sz="0" w:space="0" w:color="auto"/>
      </w:divBdr>
    </w:div>
    <w:div w:id="1998458793">
      <w:bodyDiv w:val="1"/>
      <w:marLeft w:val="0"/>
      <w:marRight w:val="0"/>
      <w:marTop w:val="0"/>
      <w:marBottom w:val="0"/>
      <w:divBdr>
        <w:top w:val="none" w:sz="0" w:space="0" w:color="auto"/>
        <w:left w:val="none" w:sz="0" w:space="0" w:color="auto"/>
        <w:bottom w:val="none" w:sz="0" w:space="0" w:color="auto"/>
        <w:right w:val="none" w:sz="0" w:space="0" w:color="auto"/>
      </w:divBdr>
    </w:div>
    <w:div w:id="2050564984">
      <w:bodyDiv w:val="1"/>
      <w:marLeft w:val="0"/>
      <w:marRight w:val="0"/>
      <w:marTop w:val="0"/>
      <w:marBottom w:val="0"/>
      <w:divBdr>
        <w:top w:val="none" w:sz="0" w:space="0" w:color="auto"/>
        <w:left w:val="none" w:sz="0" w:space="0" w:color="auto"/>
        <w:bottom w:val="none" w:sz="0" w:space="0" w:color="auto"/>
        <w:right w:val="none" w:sz="0" w:space="0" w:color="auto"/>
      </w:divBdr>
    </w:div>
    <w:div w:id="2062054072">
      <w:bodyDiv w:val="1"/>
      <w:marLeft w:val="0"/>
      <w:marRight w:val="0"/>
      <w:marTop w:val="0"/>
      <w:marBottom w:val="0"/>
      <w:divBdr>
        <w:top w:val="none" w:sz="0" w:space="0" w:color="auto"/>
        <w:left w:val="none" w:sz="0" w:space="0" w:color="auto"/>
        <w:bottom w:val="none" w:sz="0" w:space="0" w:color="auto"/>
        <w:right w:val="none" w:sz="0" w:space="0" w:color="auto"/>
      </w:divBdr>
    </w:div>
    <w:div w:id="209211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rodriguez@icd.go.c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52313713B6A144DB1AB3F7808E50684" ma:contentTypeVersion="15" ma:contentTypeDescription="Crear nuevo documento." ma:contentTypeScope="" ma:versionID="6d2272694d78163b7850782ef9ef4ae6">
  <xsd:schema xmlns:xsd="http://www.w3.org/2001/XMLSchema" xmlns:xs="http://www.w3.org/2001/XMLSchema" xmlns:p="http://schemas.microsoft.com/office/2006/metadata/properties" xmlns:ns2="a1cac3e6-3a70-47c8-a30c-e1ad94fee13c" xmlns:ns3="3ba265a6-ee0a-48e5-be0a-5c186d555e9f" targetNamespace="http://schemas.microsoft.com/office/2006/metadata/properties" ma:root="true" ma:fieldsID="8e0f611232dfdec2a4c50af474475128" ns2:_="" ns3:_="">
    <xsd:import namespace="a1cac3e6-3a70-47c8-a30c-e1ad94fee13c"/>
    <xsd:import namespace="3ba265a6-ee0a-48e5-be0a-5c186d555e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ac3e6-3a70-47c8-a30c-e1ad94fee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8841adb-f5aa-4f5c-aff2-a522c238268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a265a6-ee0a-48e5-be0a-5c186d555e9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aa898fdd-1d91-4059-a2cb-5e412b37a164}" ma:internalName="TaxCatchAll" ma:showField="CatchAllData" ma:web="3ba265a6-ee0a-48e5-be0a-5c186d555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ba265a6-ee0a-48e5-be0a-5c186d555e9f" xsi:nil="true"/>
    <lcf76f155ced4ddcb4097134ff3c332f xmlns="a1cac3e6-3a70-47c8-a30c-e1ad94fee1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17CD5D-AF1D-4964-B082-677CEED1F69D}"/>
</file>

<file path=customXml/itemProps2.xml><?xml version="1.0" encoding="utf-8"?>
<ds:datastoreItem xmlns:ds="http://schemas.openxmlformats.org/officeDocument/2006/customXml" ds:itemID="{7B15075E-5663-4D03-8E5D-82D25BE87CBE}">
  <ds:schemaRefs>
    <ds:schemaRef ds:uri="http://schemas.openxmlformats.org/officeDocument/2006/bibliography"/>
  </ds:schemaRefs>
</ds:datastoreItem>
</file>

<file path=customXml/itemProps3.xml><?xml version="1.0" encoding="utf-8"?>
<ds:datastoreItem xmlns:ds="http://schemas.openxmlformats.org/officeDocument/2006/customXml" ds:itemID="{3CF994CF-2177-4CC9-9446-07CAC72D97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A699A6-406E-4248-A194-69E0C5364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5736</Words>
  <Characters>31550</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INFORME FINAL DE EVALUACIÓN FÍSICA Y FINANCIERA DE LA EJECUCIÓN DEL PRESUPUESTO 2021</vt:lpstr>
    </vt:vector>
  </TitlesOfParts>
  <Company>NOMBRE DE LA ENTIDAD</Company>
  <LinksUpToDate>false</LinksUpToDate>
  <CharactersWithSpaces>37212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FINAL DE EVALUACIÓN FÍSICA Y FINANCIERA DE LA EJECUCIÓN DEL PRESUPUESTO 2021</dc:title>
  <dc:creator>Noviembre 2021</dc:creator>
  <cp:lastModifiedBy>Ilsamar Ruíz Espinoza</cp:lastModifiedBy>
  <cp:revision>3</cp:revision>
  <cp:lastPrinted>2022-01-26T22:38:00Z</cp:lastPrinted>
  <dcterms:created xsi:type="dcterms:W3CDTF">2022-01-26T22:28:00Z</dcterms:created>
  <dcterms:modified xsi:type="dcterms:W3CDTF">2022-01-26T22:39:00Z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0x01010072EEA6307D80F14BAB3957142425D0C0</vt:lpwstr>
  </property>
</Properties>
</file>